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561433"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0A6EB7" w:rsidTr="000A6EB7">
              <w:tc>
                <w:tcPr>
                  <w:tcW w:w="9638" w:type="dxa"/>
                  <w:shd w:val="clear" w:color="auto" w:fill="auto"/>
                </w:tcPr>
                <w:p w:rsidR="000A6EB7" w:rsidRDefault="000A6EB7" w:rsidP="00E74CE9">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БУГД10-22/9205   от: 04.12.2019</w:t>
                  </w:r>
                </w:p>
                <w:p w:rsidR="000A6EB7" w:rsidRPr="000A6EB7" w:rsidRDefault="000A6EB7" w:rsidP="00E74CE9">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50367   от: 05.12.2019</w:t>
                  </w:r>
                </w:p>
              </w:tc>
            </w:tr>
          </w:tbl>
          <w:p w:rsidR="00B426C3" w:rsidRPr="000F1003" w:rsidRDefault="00B426C3" w:rsidP="00E74CE9">
            <w:pPr>
              <w:spacing w:after="0" w:line="240" w:lineRule="auto"/>
              <w:jc w:val="center"/>
              <w:rPr>
                <w:rFonts w:ascii="Times New Roman" w:hAnsi="Times New Roman" w:cs="Times New Roman"/>
                <w:b/>
                <w:bCs/>
                <w:sz w:val="24"/>
                <w:szCs w:val="24"/>
                <w:lang w:val="kk-KZ"/>
              </w:rPr>
            </w:pPr>
            <w:r w:rsidRPr="000F1003">
              <w:rPr>
                <w:rFonts w:ascii="Times New Roman" w:hAnsi="Times New Roman" w:cs="Times New Roman"/>
                <w:b/>
                <w:sz w:val="24"/>
                <w:szCs w:val="24"/>
                <w:lang w:val="kk-KZ"/>
              </w:rPr>
              <w:t>«Б» корпусының бос</w:t>
            </w:r>
            <w:r>
              <w:rPr>
                <w:rFonts w:ascii="Times New Roman" w:hAnsi="Times New Roman" w:cs="Times New Roman"/>
                <w:b/>
                <w:sz w:val="24"/>
                <w:szCs w:val="24"/>
                <w:lang w:val="kk-KZ"/>
              </w:rPr>
              <w:t xml:space="preserve"> </w:t>
            </w:r>
            <w:r w:rsidRPr="000F1003">
              <w:rPr>
                <w:rFonts w:ascii="Times New Roman" w:hAnsi="Times New Roman" w:cs="Times New Roman"/>
                <w:b/>
                <w:sz w:val="24"/>
                <w:szCs w:val="24"/>
                <w:lang w:val="kk-KZ"/>
              </w:rPr>
              <w:t>мемлекеттік әкімшілік лауазым</w:t>
            </w:r>
            <w:r w:rsidR="00C94B57">
              <w:rPr>
                <w:rFonts w:ascii="Times New Roman" w:hAnsi="Times New Roman" w:cs="Times New Roman"/>
                <w:b/>
                <w:sz w:val="24"/>
                <w:szCs w:val="24"/>
                <w:lang w:val="kk-KZ"/>
              </w:rPr>
              <w:t>дар</w:t>
            </w:r>
            <w:r w:rsidRPr="000F1003">
              <w:rPr>
                <w:rFonts w:ascii="Times New Roman" w:hAnsi="Times New Roman" w:cs="Times New Roman"/>
                <w:b/>
                <w:sz w:val="24"/>
                <w:szCs w:val="24"/>
                <w:lang w:val="kk-KZ"/>
              </w:rPr>
              <w:t xml:space="preserve">ына </w:t>
            </w:r>
            <w:r w:rsidR="00C94B57">
              <w:rPr>
                <w:rFonts w:ascii="Times New Roman" w:hAnsi="Times New Roman" w:cs="Times New Roman"/>
                <w:b/>
                <w:bCs/>
                <w:sz w:val="24"/>
                <w:szCs w:val="24"/>
                <w:lang w:val="kk-KZ"/>
              </w:rPr>
              <w:t>орналасу үшін</w:t>
            </w:r>
            <w:r w:rsidRPr="00734DB1">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w:t>
            </w:r>
            <w:r w:rsidRPr="000F1003">
              <w:rPr>
                <w:rFonts w:ascii="Times New Roman" w:hAnsi="Times New Roman" w:cs="Times New Roman"/>
                <w:b/>
                <w:bCs/>
                <w:sz w:val="24"/>
                <w:szCs w:val="24"/>
                <w:lang w:val="kk-KZ"/>
              </w:rPr>
              <w:t xml:space="preserve"> туралы хаба</w:t>
            </w:r>
            <w:bookmarkStart w:id="0" w:name="_GoBack"/>
            <w:bookmarkEnd w:id="0"/>
            <w:r w:rsidRPr="000F1003">
              <w:rPr>
                <w:rFonts w:ascii="Times New Roman" w:hAnsi="Times New Roman" w:cs="Times New Roman"/>
                <w:b/>
                <w:bCs/>
                <w:sz w:val="24"/>
                <w:szCs w:val="24"/>
                <w:lang w:val="kk-KZ"/>
              </w:rPr>
              <w:t>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8116C2"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8116C2" w:rsidRPr="008116C2">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116C2" w:rsidRDefault="000131F0"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8116C2" w:rsidRPr="008116C2">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8116C2">
        <w:rPr>
          <w:rFonts w:ascii="Times New Roman" w:eastAsia="Calibri" w:hAnsi="Times New Roman" w:cs="Times New Roman"/>
          <w:spacing w:val="-2"/>
          <w:sz w:val="24"/>
          <w:szCs w:val="24"/>
          <w:lang w:val="kk-KZ"/>
        </w:rPr>
        <w:t>ру, шешім қабылдау, көшбасшылық.</w:t>
      </w:r>
    </w:p>
    <w:p w:rsidR="008116C2" w:rsidRDefault="008116C2"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9E09C5" w:rsidRDefault="009E09C5" w:rsidP="008116C2">
      <w:pPr>
        <w:pStyle w:val="disclaimer"/>
        <w:spacing w:after="0" w:line="240" w:lineRule="auto"/>
        <w:ind w:firstLine="709"/>
        <w:contextualSpacing/>
        <w:jc w:val="both"/>
        <w:rPr>
          <w:rFonts w:ascii="Times New Roman" w:hAnsi="Times New Roman" w:cs="Times New Roman"/>
          <w:b/>
          <w:sz w:val="28"/>
          <w:szCs w:val="28"/>
          <w:lang w:val="kk-KZ"/>
        </w:rPr>
      </w:pPr>
      <w:r w:rsidRPr="008116C2">
        <w:rPr>
          <w:rFonts w:ascii="Times New Roman" w:hAnsi="Times New Roman" w:cs="Times New Roman"/>
          <w:b/>
          <w:sz w:val="28"/>
          <w:szCs w:val="28"/>
          <w:lang w:val="kk-KZ"/>
        </w:rPr>
        <w:t>Жоғары білім болған жағдайда жұмыс тәжірибесі талап етілмейді.</w:t>
      </w:r>
    </w:p>
    <w:p w:rsidR="008116C2" w:rsidRPr="008116C2" w:rsidRDefault="008116C2" w:rsidP="008116C2">
      <w:pPr>
        <w:pStyle w:val="disclaimer"/>
        <w:spacing w:after="0" w:line="240" w:lineRule="auto"/>
        <w:ind w:firstLine="709"/>
        <w:contextualSpacing/>
        <w:jc w:val="both"/>
        <w:rPr>
          <w:rFonts w:ascii="Times New Roman" w:hAnsi="Times New Roman" w:cs="Times New Roman"/>
          <w:b/>
          <w:sz w:val="28"/>
          <w:szCs w:val="28"/>
          <w:lang w:val="kk-KZ"/>
        </w:rPr>
      </w:pPr>
    </w:p>
    <w:p w:rsidR="000A5E43" w:rsidRDefault="009E09C5" w:rsidP="000A5E43">
      <w:pPr>
        <w:pStyle w:val="11"/>
        <w:spacing w:before="0" w:beforeAutospacing="0" w:after="0" w:afterAutospacing="0"/>
        <w:ind w:firstLine="708"/>
        <w:jc w:val="both"/>
        <w:rPr>
          <w:i/>
          <w:lang w:val="kk-KZ"/>
        </w:rPr>
      </w:pPr>
      <w:r>
        <w:rPr>
          <w:i/>
          <w:lang w:val="kk-KZ"/>
        </w:rPr>
        <w:t>-</w:t>
      </w:r>
      <w:r w:rsidR="000A5E43"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0F1003"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806E65" w:rsidRPr="003E5A7A" w:rsidRDefault="00C22CA1" w:rsidP="003E5A7A">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8(7172)45-05-</w:t>
      </w:r>
      <w:r w:rsidR="00095C2F">
        <w:rPr>
          <w:rFonts w:ascii="Times New Roman" w:eastAsia="Times New Roman" w:hAnsi="Times New Roman" w:cs="Times New Roman"/>
          <w:b/>
          <w:sz w:val="24"/>
          <w:szCs w:val="24"/>
          <w:lang w:val="kk-KZ"/>
        </w:rPr>
        <w:t>38</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806E65" w:rsidRPr="003E5A7A">
        <w:rPr>
          <w:rStyle w:val="a4"/>
          <w:rFonts w:ascii="Times New Roman" w:hAnsi="Times New Roman" w:cs="Times New Roman"/>
          <w:bCs/>
          <w:iCs/>
          <w:lang w:val="kk-KZ"/>
        </w:rPr>
        <w:t>«</w:t>
      </w:r>
      <w:r w:rsidR="00806E65" w:rsidRPr="003E5A7A">
        <w:rPr>
          <w:rFonts w:ascii="Times New Roman" w:eastAsia="Times New Roman" w:hAnsi="Times New Roman" w:cs="Times New Roman"/>
          <w:b/>
          <w:sz w:val="24"/>
          <w:szCs w:val="24"/>
          <w:lang w:val="kk-KZ"/>
        </w:rPr>
        <w:t xml:space="preserve">Б» корпусының бос </w:t>
      </w:r>
      <w:r w:rsidR="00C94B57" w:rsidRPr="003E5A7A">
        <w:rPr>
          <w:rFonts w:ascii="Times New Roman" w:eastAsia="Times New Roman" w:hAnsi="Times New Roman" w:cs="Times New Roman"/>
          <w:b/>
          <w:sz w:val="24"/>
          <w:szCs w:val="24"/>
          <w:lang w:val="kk-KZ"/>
        </w:rPr>
        <w:t xml:space="preserve">мемлекеттік әкімшілік лауазымдарына </w:t>
      </w:r>
      <w:r w:rsidR="006B33C2" w:rsidRPr="003E5A7A">
        <w:rPr>
          <w:rFonts w:ascii="Times New Roman" w:eastAsia="Times New Roman" w:hAnsi="Times New Roman" w:cs="Times New Roman"/>
          <w:b/>
          <w:sz w:val="24"/>
          <w:szCs w:val="24"/>
          <w:lang w:val="kk-KZ"/>
        </w:rPr>
        <w:t>орналасу үшін</w:t>
      </w:r>
      <w:r w:rsidR="00806E65" w:rsidRPr="003E5A7A">
        <w:rPr>
          <w:rFonts w:ascii="Times New Roman" w:eastAsia="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DA1251" w:rsidRPr="003E5A7A">
        <w:rPr>
          <w:rFonts w:ascii="Times New Roman" w:eastAsia="Times New Roman" w:hAnsi="Times New Roman" w:cs="Times New Roman"/>
          <w:b/>
          <w:sz w:val="24"/>
          <w:szCs w:val="24"/>
          <w:lang w:val="kk-KZ"/>
        </w:rPr>
        <w:t xml:space="preserve"> </w:t>
      </w:r>
    </w:p>
    <w:p w:rsidR="00DA1251" w:rsidRDefault="00DA1251" w:rsidP="00806E65">
      <w:pPr>
        <w:tabs>
          <w:tab w:val="left" w:pos="11057"/>
        </w:tabs>
        <w:spacing w:after="0" w:line="240" w:lineRule="auto"/>
        <w:jc w:val="both"/>
        <w:rPr>
          <w:rFonts w:ascii="Times New Roman" w:hAnsi="Times New Roman" w:cs="Times New Roman"/>
          <w:b/>
          <w:sz w:val="24"/>
          <w:szCs w:val="24"/>
          <w:lang w:val="kk-KZ"/>
        </w:rPr>
      </w:pPr>
    </w:p>
    <w:p w:rsidR="00DA1251" w:rsidRPr="000E7147" w:rsidRDefault="009E09C5" w:rsidP="009E09C5">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0E7147">
        <w:rPr>
          <w:rFonts w:ascii="Times New Roman" w:eastAsia="Times New Roman" w:hAnsi="Times New Roman" w:cs="Times New Roman"/>
          <w:b/>
          <w:sz w:val="24"/>
          <w:szCs w:val="24"/>
          <w:lang w:val="kk-KZ"/>
        </w:rPr>
        <w:t xml:space="preserve">Заңды тұлғаларды </w:t>
      </w:r>
      <w:r w:rsidR="00DA1251" w:rsidRPr="00DA1251">
        <w:rPr>
          <w:rFonts w:ascii="Times New Roman" w:eastAsia="Times New Roman" w:hAnsi="Times New Roman" w:cs="Times New Roman"/>
          <w:b/>
          <w:sz w:val="24"/>
          <w:szCs w:val="24"/>
          <w:lang w:val="kk-KZ"/>
        </w:rPr>
        <w:t>әкімшілендіру бөлімінің бас маманы</w:t>
      </w:r>
      <w:r w:rsidR="00DA1251">
        <w:rPr>
          <w:rFonts w:ascii="Times New Roman" w:eastAsia="Times New Roman" w:hAnsi="Times New Roman" w:cs="Times New Roman"/>
          <w:b/>
          <w:sz w:val="24"/>
          <w:szCs w:val="24"/>
          <w:lang w:val="kk-KZ"/>
        </w:rPr>
        <w:t xml:space="preserve"> С-R-4 санаты, </w:t>
      </w:r>
      <w:r w:rsidR="008116C2">
        <w:rPr>
          <w:rFonts w:ascii="Times New Roman" w:eastAsia="Times New Roman" w:hAnsi="Times New Roman" w:cs="Times New Roman"/>
          <w:b/>
          <w:sz w:val="24"/>
          <w:szCs w:val="24"/>
          <w:lang w:val="kk-KZ"/>
        </w:rPr>
        <w:t>1</w:t>
      </w:r>
      <w:r w:rsidR="00DA1251">
        <w:rPr>
          <w:rFonts w:ascii="Times New Roman" w:eastAsia="Times New Roman" w:hAnsi="Times New Roman" w:cs="Times New Roman"/>
          <w:b/>
          <w:sz w:val="24"/>
          <w:szCs w:val="24"/>
          <w:lang w:val="kk-KZ"/>
        </w:rPr>
        <w:t xml:space="preserve"> </w:t>
      </w:r>
      <w:r w:rsidR="008116C2">
        <w:rPr>
          <w:rFonts w:ascii="Times New Roman" w:eastAsia="Times New Roman" w:hAnsi="Times New Roman" w:cs="Times New Roman"/>
          <w:b/>
          <w:bCs/>
          <w:iCs/>
          <w:color w:val="000000"/>
          <w:sz w:val="24"/>
          <w:szCs w:val="24"/>
          <w:lang w:val="kk-KZ"/>
        </w:rPr>
        <w:t>бірлік.</w:t>
      </w:r>
    </w:p>
    <w:p w:rsidR="008116C2" w:rsidRDefault="000E7147" w:rsidP="008116C2">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8116C2" w:rsidRPr="008116C2">
        <w:rPr>
          <w:rFonts w:ascii="Times New Roman" w:eastAsia="Times New Roman" w:hAnsi="Times New Roman" w:cs="Times New Roman"/>
          <w:bCs/>
          <w:iCs/>
          <w:color w:val="000000"/>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 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Салық есептілігін зерттеу және талдау негізінде салық міндеттемелерінің орындалуын жүргізеді. Әрекетсіз деп танылған  (байланыс </w:t>
      </w:r>
      <w:r w:rsidR="008116C2" w:rsidRPr="008116C2">
        <w:rPr>
          <w:rFonts w:ascii="Times New Roman" w:eastAsia="Times New Roman" w:hAnsi="Times New Roman" w:cs="Times New Roman"/>
          <w:bCs/>
          <w:iCs/>
          <w:color w:val="000000"/>
          <w:sz w:val="24"/>
          <w:szCs w:val="24"/>
          <w:lang w:val="kk-KZ"/>
        </w:rPr>
        <w:lastRenderedPageBreak/>
        <w:t>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дайындайды.Оңайлатылған тәртіпте заңды тұлғалардың қызметін тоқтату бойынша жұмыстардың жүргізу. КХТ/БДҚ,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8116C2" w:rsidRDefault="000E7147" w:rsidP="00453D77">
      <w:pPr>
        <w:widowControl w:val="0"/>
        <w:spacing w:after="0" w:line="240" w:lineRule="auto"/>
        <w:ind w:firstLine="708"/>
        <w:jc w:val="both"/>
        <w:rPr>
          <w:rFonts w:ascii="Times New Roman CYR" w:hAnsi="Times New Roman CYR" w:cs="Times New Roman CYR"/>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8116C2" w:rsidRPr="008116C2">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E09C5" w:rsidRDefault="008116C2" w:rsidP="009E09C5">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2</w:t>
      </w:r>
      <w:r w:rsidR="00453D77">
        <w:rPr>
          <w:rFonts w:ascii="Times New Roman" w:eastAsia="Times New Roman" w:hAnsi="Times New Roman" w:cs="Times New Roman"/>
          <w:b/>
          <w:bCs/>
          <w:iCs/>
          <w:color w:val="000000"/>
          <w:sz w:val="24"/>
          <w:szCs w:val="24"/>
          <w:lang w:val="kk-KZ"/>
        </w:rPr>
        <w:t xml:space="preserve">. </w:t>
      </w:r>
      <w:r w:rsidR="000E7147" w:rsidRPr="000E7147">
        <w:rPr>
          <w:rFonts w:ascii="Times New Roman" w:eastAsia="Times New Roman" w:hAnsi="Times New Roman" w:cs="Times New Roman"/>
          <w:b/>
          <w:bCs/>
          <w:iCs/>
          <w:color w:val="000000"/>
          <w:sz w:val="24"/>
          <w:szCs w:val="24"/>
          <w:lang w:val="kk-KZ"/>
        </w:rPr>
        <w:t xml:space="preserve">Жанама салықтарды әкімшілендіру бөлімінің бас маманы </w:t>
      </w:r>
      <w:r w:rsidR="00136C7E">
        <w:rPr>
          <w:rFonts w:ascii="Times New Roman" w:eastAsia="Times New Roman" w:hAnsi="Times New Roman" w:cs="Times New Roman"/>
          <w:b/>
          <w:sz w:val="24"/>
          <w:szCs w:val="24"/>
          <w:lang w:val="kk-KZ"/>
        </w:rPr>
        <w:t>С</w:t>
      </w:r>
      <w:r w:rsidR="009E09C5">
        <w:rPr>
          <w:rFonts w:ascii="Times New Roman" w:eastAsia="Times New Roman" w:hAnsi="Times New Roman" w:cs="Times New Roman"/>
          <w:b/>
          <w:sz w:val="24"/>
          <w:szCs w:val="24"/>
          <w:lang w:val="kk-KZ"/>
        </w:rPr>
        <w:t xml:space="preserve">-R-4 санаты, </w:t>
      </w:r>
      <w:r w:rsidR="009E09C5">
        <w:rPr>
          <w:rFonts w:ascii="Times New Roman" w:eastAsia="Times New Roman" w:hAnsi="Times New Roman" w:cs="Times New Roman"/>
          <w:b/>
          <w:bCs/>
          <w:iCs/>
          <w:color w:val="000000"/>
          <w:sz w:val="24"/>
          <w:szCs w:val="24"/>
          <w:lang w:val="kk-KZ"/>
        </w:rPr>
        <w:t>1 бірлік.</w:t>
      </w:r>
    </w:p>
    <w:p w:rsidR="008116C2" w:rsidRPr="008116C2" w:rsidRDefault="009E09C5" w:rsidP="008116C2">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8116C2" w:rsidRPr="008116C2">
        <w:rPr>
          <w:rFonts w:ascii="Times New Roman" w:eastAsia="Times New Roman" w:hAnsi="Times New Roman" w:cs="Times New Roman"/>
          <w:bCs/>
          <w:iCs/>
          <w:color w:val="000000"/>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w:t>
      </w:r>
    </w:p>
    <w:p w:rsidR="008116C2" w:rsidRDefault="008116C2" w:rsidP="008116C2">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8116C2">
        <w:rPr>
          <w:rFonts w:ascii="Times New Roman" w:eastAsia="Times New Roman" w:hAnsi="Times New Roman" w:cs="Times New Roman"/>
          <w:bCs/>
          <w:iCs/>
          <w:color w:val="000000"/>
          <w:sz w:val="24"/>
          <w:szCs w:val="24"/>
          <w:lang w:val="kk-KZ"/>
        </w:rPr>
        <w:t>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8116C2" w:rsidRDefault="009E09C5" w:rsidP="004331E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lastRenderedPageBreak/>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8116C2" w:rsidRPr="008116C2">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4331E5" w:rsidRPr="004331E5" w:rsidRDefault="008116C2" w:rsidP="004331E5">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w:t>
      </w:r>
      <w:r w:rsidR="009E09C5" w:rsidRPr="009E09C5">
        <w:rPr>
          <w:rFonts w:ascii="Times New Roman" w:eastAsia="Times New Roman" w:hAnsi="Times New Roman" w:cs="Times New Roman"/>
          <w:b/>
          <w:sz w:val="24"/>
          <w:szCs w:val="24"/>
          <w:lang w:val="kk-KZ"/>
        </w:rPr>
        <w:t xml:space="preserve">. </w:t>
      </w:r>
      <w:r w:rsidRPr="008116C2">
        <w:rPr>
          <w:rFonts w:ascii="Times New Roman" w:eastAsia="Times New Roman" w:hAnsi="Times New Roman" w:cs="Times New Roman"/>
          <w:b/>
          <w:sz w:val="24"/>
          <w:szCs w:val="24"/>
          <w:lang w:val="kk-KZ"/>
        </w:rPr>
        <w:t>Өндірістік емес төлемдер</w:t>
      </w:r>
      <w:r w:rsidR="004331E5" w:rsidRPr="004331E5">
        <w:rPr>
          <w:rFonts w:ascii="Times New Roman" w:eastAsia="Times New Roman" w:hAnsi="Times New Roman" w:cs="Times New Roman"/>
          <w:b/>
          <w:sz w:val="24"/>
          <w:szCs w:val="24"/>
          <w:lang w:val="kk-KZ"/>
        </w:rPr>
        <w:t xml:space="preserve"> бөлімінің бас маманы</w:t>
      </w:r>
      <w:r w:rsidR="004331E5">
        <w:rPr>
          <w:rFonts w:ascii="Times New Roman" w:eastAsia="Times New Roman" w:hAnsi="Times New Roman" w:cs="Times New Roman"/>
          <w:b/>
          <w:sz w:val="24"/>
          <w:szCs w:val="24"/>
          <w:lang w:val="kk-KZ"/>
        </w:rPr>
        <w:t xml:space="preserve"> С-R-4 санаты, </w:t>
      </w:r>
      <w:r>
        <w:rPr>
          <w:rFonts w:ascii="Times New Roman" w:eastAsia="Times New Roman" w:hAnsi="Times New Roman" w:cs="Times New Roman"/>
          <w:b/>
          <w:sz w:val="24"/>
          <w:szCs w:val="24"/>
          <w:lang w:val="kk-KZ"/>
        </w:rPr>
        <w:t>1</w:t>
      </w:r>
      <w:r w:rsidR="004331E5">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bCs/>
          <w:iCs/>
          <w:color w:val="000000"/>
          <w:sz w:val="24"/>
          <w:szCs w:val="24"/>
          <w:lang w:val="kk-KZ"/>
        </w:rPr>
        <w:t xml:space="preserve">бірлік. </w:t>
      </w:r>
    </w:p>
    <w:p w:rsidR="008116C2" w:rsidRDefault="00A40162" w:rsidP="008116C2">
      <w:pPr>
        <w:tabs>
          <w:tab w:val="left" w:pos="709"/>
          <w:tab w:val="left" w:pos="1134"/>
          <w:tab w:val="left" w:pos="11057"/>
        </w:tabs>
        <w:spacing w:after="0" w:line="240" w:lineRule="auto"/>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 xml:space="preserve">             </w:t>
      </w:r>
      <w:r w:rsidRPr="00A40162">
        <w:rPr>
          <w:rFonts w:ascii="Times New Roman" w:eastAsia="Times New Roman" w:hAnsi="Times New Roman" w:cs="Times New Roman"/>
          <w:b/>
          <w:bCs/>
          <w:iCs/>
          <w:color w:val="000000"/>
          <w:sz w:val="24"/>
          <w:szCs w:val="24"/>
          <w:lang w:val="kk-KZ"/>
        </w:rPr>
        <w:t>Қызметтік міндеттері:</w:t>
      </w:r>
      <w:r w:rsidRPr="00A40162">
        <w:rPr>
          <w:lang w:val="kk-KZ"/>
        </w:rPr>
        <w:t xml:space="preserve"> </w:t>
      </w:r>
      <w:r w:rsidR="008116C2" w:rsidRPr="008116C2">
        <w:rPr>
          <w:rFonts w:ascii="Times New Roman" w:hAnsi="Times New Roman" w:cs="Times New Roman"/>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8116C2" w:rsidRDefault="008116C2" w:rsidP="008116C2">
      <w:pPr>
        <w:tabs>
          <w:tab w:val="left" w:pos="709"/>
          <w:tab w:val="left" w:pos="1134"/>
          <w:tab w:val="left" w:pos="11057"/>
        </w:tabs>
        <w:spacing w:after="0" w:line="240" w:lineRule="auto"/>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ab/>
      </w:r>
      <w:r w:rsidR="00A40162"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sidR="00A40162">
        <w:rPr>
          <w:rFonts w:ascii="Times New Roman" w:eastAsia="Times New Roman" w:hAnsi="Times New Roman" w:cs="Times New Roman"/>
          <w:b/>
          <w:bCs/>
          <w:iCs/>
          <w:color w:val="000000"/>
          <w:sz w:val="24"/>
          <w:szCs w:val="24"/>
          <w:lang w:val="kk-KZ"/>
        </w:rPr>
        <w:t xml:space="preserve"> </w:t>
      </w:r>
      <w:r w:rsidRPr="008116C2">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8116C2" w:rsidP="008116C2">
      <w:pPr>
        <w:tabs>
          <w:tab w:val="left" w:pos="709"/>
          <w:tab w:val="left" w:pos="1134"/>
          <w:tab w:val="left" w:pos="11057"/>
        </w:tabs>
        <w:spacing w:after="0" w:line="240" w:lineRule="auto"/>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Cs/>
          <w:iCs/>
          <w:color w:val="000000"/>
          <w:sz w:val="24"/>
          <w:szCs w:val="24"/>
          <w:lang w:val="kk-KZ"/>
        </w:rPr>
        <w:tab/>
      </w:r>
      <w:r w:rsidR="006B2B3B"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 xml:space="preserve">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w:t>
      </w:r>
      <w:r w:rsidRPr="006B2B3B">
        <w:rPr>
          <w:rFonts w:ascii="Times New Roman" w:eastAsia="Times New Roman" w:hAnsi="Times New Roman" w:cs="Times New Roman"/>
          <w:bCs/>
          <w:iCs/>
          <w:sz w:val="24"/>
          <w:szCs w:val="24"/>
          <w:lang w:val="kk-KZ"/>
        </w:rPr>
        <w:lastRenderedPageBreak/>
        <w:t>асырылады.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453D77" w:rsidRDefault="00453D77"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lastRenderedPageBreak/>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толтырады</w:t>
            </w:r>
            <w:proofErr w:type="spellEnd"/>
            <w:r w:rsidRPr="009641C4">
              <w:rPr>
                <w:rFonts w:ascii="Times New Roman" w:hAnsi="Times New Roman"/>
                <w:sz w:val="24"/>
                <w:szCs w:val="24"/>
              </w:rPr>
              <w:t>)/</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7E" w:rsidRDefault="0003717E" w:rsidP="00537B9A">
      <w:pPr>
        <w:spacing w:after="0" w:line="240" w:lineRule="auto"/>
      </w:pPr>
      <w:r>
        <w:separator/>
      </w:r>
    </w:p>
  </w:endnote>
  <w:endnote w:type="continuationSeparator" w:id="0">
    <w:p w:rsidR="0003717E" w:rsidRDefault="0003717E"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7E" w:rsidRDefault="0003717E" w:rsidP="00537B9A">
      <w:pPr>
        <w:spacing w:after="0" w:line="240" w:lineRule="auto"/>
      </w:pPr>
      <w:r>
        <w:separator/>
      </w:r>
    </w:p>
  </w:footnote>
  <w:footnote w:type="continuationSeparator" w:id="0">
    <w:p w:rsidR="0003717E" w:rsidRDefault="0003717E"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0A6EB7">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A6EB7" w:rsidRPr="000A6EB7" w:rsidRDefault="000A6EB7">
                          <w:pPr>
                            <w:rPr>
                              <w:rFonts w:ascii="Times New Roman" w:hAnsi="Times New Roman" w:cs="Times New Roman"/>
                              <w:color w:val="0C0000"/>
                              <w:sz w:val="14"/>
                            </w:rPr>
                          </w:pPr>
                          <w:r>
                            <w:rPr>
                              <w:rFonts w:ascii="Times New Roman" w:hAnsi="Times New Roman" w:cs="Times New Roman"/>
                              <w:color w:val="0C0000"/>
                              <w:sz w:val="14"/>
                            </w:rPr>
                            <w:t xml:space="preserve">05.12.2019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0A6EB7" w:rsidRPr="000A6EB7" w:rsidRDefault="000A6EB7">
                    <w:pPr>
                      <w:rPr>
                        <w:rFonts w:ascii="Times New Roman" w:hAnsi="Times New Roman" w:cs="Times New Roman"/>
                        <w:color w:val="0C0000"/>
                        <w:sz w:val="14"/>
                      </w:rPr>
                    </w:pPr>
                    <w:r>
                      <w:rPr>
                        <w:rFonts w:ascii="Times New Roman" w:hAnsi="Times New Roman" w:cs="Times New Roman"/>
                        <w:color w:val="0C0000"/>
                        <w:sz w:val="14"/>
                      </w:rPr>
                      <w:t xml:space="preserve">05.12.2019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3717E"/>
    <w:rsid w:val="0004452A"/>
    <w:rsid w:val="00054F07"/>
    <w:rsid w:val="00055CB0"/>
    <w:rsid w:val="00062AF5"/>
    <w:rsid w:val="00064AED"/>
    <w:rsid w:val="00072F16"/>
    <w:rsid w:val="00073395"/>
    <w:rsid w:val="00074CDF"/>
    <w:rsid w:val="000802A6"/>
    <w:rsid w:val="00080B5F"/>
    <w:rsid w:val="00081670"/>
    <w:rsid w:val="00082D4A"/>
    <w:rsid w:val="00095C2F"/>
    <w:rsid w:val="00096A7E"/>
    <w:rsid w:val="000A033F"/>
    <w:rsid w:val="000A4F44"/>
    <w:rsid w:val="000A5E43"/>
    <w:rsid w:val="000A6015"/>
    <w:rsid w:val="000A6EB7"/>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452"/>
    <w:rsid w:val="00373991"/>
    <w:rsid w:val="00375F31"/>
    <w:rsid w:val="00376962"/>
    <w:rsid w:val="00382FA8"/>
    <w:rsid w:val="00395541"/>
    <w:rsid w:val="003A17F7"/>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61433"/>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1CF8"/>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B2B3B"/>
    <w:rsid w:val="006B33C2"/>
    <w:rsid w:val="006B3F76"/>
    <w:rsid w:val="006B6235"/>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16C2"/>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C79"/>
    <w:rsid w:val="00F334BE"/>
    <w:rsid w:val="00F33C15"/>
    <w:rsid w:val="00F34165"/>
    <w:rsid w:val="00F3555A"/>
    <w:rsid w:val="00F57EC2"/>
    <w:rsid w:val="00F64238"/>
    <w:rsid w:val="00F65746"/>
    <w:rsid w:val="00F75B02"/>
    <w:rsid w:val="00F76127"/>
    <w:rsid w:val="00F80CBA"/>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0263-1243-4616-88A4-80A373AA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2619</Words>
  <Characters>14933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2019-12-18T05:37:00Z</dcterms:created>
  <dcterms:modified xsi:type="dcterms:W3CDTF">2019-12-18T05:37:00Z</dcterms:modified>
</cp:coreProperties>
</file>