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694D3C" w:rsidTr="00694D3C">
              <w:tblPrEx>
                <w:tblCellMar>
                  <w:top w:w="0" w:type="dxa"/>
                  <w:bottom w:w="0" w:type="dxa"/>
                </w:tblCellMar>
              </w:tblPrEx>
              <w:tc>
                <w:tcPr>
                  <w:tcW w:w="9638" w:type="dxa"/>
                  <w:shd w:val="clear" w:color="auto" w:fill="auto"/>
                </w:tcPr>
                <w:p w:rsidR="00694D3C" w:rsidRDefault="00694D3C" w:rsidP="00E74CE9">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БУГД12-22/4462   от: 12.07.2019</w:t>
                  </w:r>
                </w:p>
                <w:p w:rsidR="00694D3C" w:rsidRPr="00694D3C" w:rsidRDefault="00694D3C" w:rsidP="00E74CE9">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29472   от: 15.07.2019</w:t>
                  </w:r>
                </w:p>
              </w:tc>
            </w:tr>
          </w:tbl>
          <w:p w:rsidR="00B426C3" w:rsidRPr="000F1003" w:rsidRDefault="00B426C3" w:rsidP="00E74CE9">
            <w:pPr>
              <w:spacing w:after="0" w:line="240" w:lineRule="auto"/>
              <w:jc w:val="center"/>
              <w:rPr>
                <w:rFonts w:ascii="Times New Roman" w:hAnsi="Times New Roman" w:cs="Times New Roman"/>
                <w:b/>
                <w:bCs/>
                <w:sz w:val="24"/>
                <w:szCs w:val="24"/>
                <w:lang w:val="kk-KZ"/>
              </w:rPr>
            </w:pPr>
            <w:r w:rsidRPr="000F1003">
              <w:rPr>
                <w:rFonts w:ascii="Times New Roman" w:hAnsi="Times New Roman" w:cs="Times New Roman"/>
                <w:b/>
                <w:sz w:val="24"/>
                <w:szCs w:val="24"/>
                <w:lang w:val="kk-KZ"/>
              </w:rPr>
              <w:t>«Б» корпусының бос</w:t>
            </w:r>
            <w:r>
              <w:rPr>
                <w:rFonts w:ascii="Times New Roman" w:hAnsi="Times New Roman" w:cs="Times New Roman"/>
                <w:b/>
                <w:sz w:val="24"/>
                <w:szCs w:val="24"/>
                <w:lang w:val="kk-KZ"/>
              </w:rPr>
              <w:t xml:space="preserve"> </w:t>
            </w:r>
            <w:r w:rsidRPr="004B50D0">
              <w:rPr>
                <w:rFonts w:ascii="Times New Roman" w:hAnsi="Times New Roman" w:cs="Times New Roman"/>
                <w:b/>
                <w:sz w:val="24"/>
                <w:szCs w:val="24"/>
                <w:lang w:val="kk-KZ"/>
              </w:rPr>
              <w:t>және уақытша бос</w:t>
            </w:r>
            <w:r w:rsidRPr="000F1003">
              <w:rPr>
                <w:rFonts w:ascii="Times New Roman" w:hAnsi="Times New Roman" w:cs="Times New Roman"/>
                <w:b/>
                <w:sz w:val="24"/>
                <w:szCs w:val="24"/>
                <w:lang w:val="kk-KZ"/>
              </w:rPr>
              <w:t xml:space="preserve">  мемлекеттік әкімшілік лауазым</w:t>
            </w:r>
            <w:r w:rsidR="00C94B57">
              <w:rPr>
                <w:rFonts w:ascii="Times New Roman" w:hAnsi="Times New Roman" w:cs="Times New Roman"/>
                <w:b/>
                <w:sz w:val="24"/>
                <w:szCs w:val="24"/>
                <w:lang w:val="kk-KZ"/>
              </w:rPr>
              <w:t>дар</w:t>
            </w:r>
            <w:r w:rsidRPr="000F1003">
              <w:rPr>
                <w:rFonts w:ascii="Times New Roman" w:hAnsi="Times New Roman" w:cs="Times New Roman"/>
                <w:b/>
                <w:sz w:val="24"/>
                <w:szCs w:val="24"/>
                <w:lang w:val="kk-KZ"/>
              </w:rPr>
              <w:t xml:space="preserve">ына </w:t>
            </w:r>
            <w:r w:rsidR="00C94B57">
              <w:rPr>
                <w:rFonts w:ascii="Times New Roman" w:hAnsi="Times New Roman" w:cs="Times New Roman"/>
                <w:b/>
                <w:bCs/>
                <w:sz w:val="24"/>
                <w:szCs w:val="24"/>
                <w:lang w:val="kk-KZ"/>
              </w:rPr>
              <w:t>орналасу үшін</w:t>
            </w:r>
            <w:r w:rsidRPr="00734DB1">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w:t>
            </w:r>
            <w:r w:rsidRPr="000F1003">
              <w:rPr>
                <w:rFonts w:ascii="Times New Roman" w:hAnsi="Times New Roman" w:cs="Times New Roman"/>
                <w:b/>
                <w:bCs/>
                <w:sz w:val="24"/>
                <w:szCs w:val="24"/>
                <w:lang w:val="kk-KZ"/>
              </w:rPr>
              <w:t xml:space="preserve">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9E09C5">
        <w:rPr>
          <w:rFonts w:ascii="Times New Roman" w:eastAsia="Times New Roman" w:hAnsi="Times New Roman" w:cs="Times New Roman"/>
          <w:b/>
          <w:sz w:val="24"/>
          <w:szCs w:val="24"/>
          <w:lang w:val="kk-KZ"/>
        </w:rPr>
        <w:t>Астана</w:t>
      </w:r>
      <w:r w:rsidRPr="000F1003">
        <w:rPr>
          <w:rFonts w:ascii="Times New Roman" w:eastAsia="Times New Roman" w:hAnsi="Times New Roman" w:cs="Times New Roman"/>
          <w:b/>
          <w:sz w:val="24"/>
          <w:szCs w:val="24"/>
          <w:lang w:val="kk-KZ"/>
        </w:rPr>
        <w:t xml:space="preserve"> 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9E09C5"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9E09C5" w:rsidRPr="009E09C5">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31F0" w:rsidRPr="009E09C5"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9E09C5" w:rsidRPr="009E09C5">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A127C4">
        <w:rPr>
          <w:rFonts w:ascii="Times New Roman" w:eastAsia="Calibri" w:hAnsi="Times New Roman" w:cs="Times New Roman"/>
          <w:spacing w:val="-2"/>
          <w:sz w:val="24"/>
          <w:szCs w:val="24"/>
          <w:lang w:val="kk-KZ"/>
        </w:rPr>
        <w:t>ру, шешім қабылдау, көшбасшылық.</w:t>
      </w:r>
    </w:p>
    <w:p w:rsidR="009E09C5" w:rsidRDefault="009E09C5" w:rsidP="000A5E43">
      <w:pPr>
        <w:pStyle w:val="1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9E09C5" w:rsidRDefault="009E09C5" w:rsidP="000A5E43">
      <w:pPr>
        <w:pStyle w:val="11"/>
        <w:spacing w:before="0" w:beforeAutospacing="0" w:after="0" w:afterAutospacing="0"/>
        <w:ind w:firstLine="708"/>
        <w:jc w:val="both"/>
        <w:rPr>
          <w:i/>
          <w:lang w:val="kk-KZ"/>
        </w:rPr>
      </w:pPr>
    </w:p>
    <w:p w:rsidR="000A5E43" w:rsidRDefault="009E09C5" w:rsidP="000A5E43">
      <w:pPr>
        <w:pStyle w:val="11"/>
        <w:spacing w:before="0" w:beforeAutospacing="0" w:after="0" w:afterAutospacing="0"/>
        <w:ind w:firstLine="708"/>
        <w:jc w:val="both"/>
        <w:rPr>
          <w:i/>
          <w:lang w:val="kk-KZ"/>
        </w:rPr>
      </w:pPr>
      <w:r>
        <w:rPr>
          <w:i/>
          <w:lang w:val="kk-KZ"/>
        </w:rPr>
        <w:t>-</w:t>
      </w:r>
      <w:r w:rsidR="000A5E43"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0F1003" w:rsidRDefault="000131F0"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806E65" w:rsidRDefault="00C22CA1" w:rsidP="00806E65">
      <w:pPr>
        <w:tabs>
          <w:tab w:val="left" w:pos="11057"/>
        </w:tabs>
        <w:spacing w:after="0" w:line="240" w:lineRule="auto"/>
        <w:jc w:val="both"/>
        <w:rPr>
          <w:rFonts w:ascii="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9E09C5">
        <w:rPr>
          <w:rFonts w:ascii="Times New Roman" w:eastAsia="Times New Roman" w:hAnsi="Times New Roman" w:cs="Times New Roman"/>
          <w:b/>
          <w:sz w:val="24"/>
          <w:szCs w:val="24"/>
          <w:lang w:val="kk-KZ"/>
        </w:rPr>
        <w:t>Астана</w:t>
      </w:r>
      <w:r w:rsidRPr="001E7C6A">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1E7C6A">
        <w:rPr>
          <w:rFonts w:ascii="Times New Roman" w:eastAsia="Times New Roman" w:hAnsi="Times New Roman" w:cs="Times New Roman"/>
          <w:b/>
          <w:bCs/>
          <w:iCs/>
          <w:sz w:val="24"/>
          <w:szCs w:val="24"/>
          <w:lang w:val="kk-KZ"/>
        </w:rPr>
        <w:t>Б. Майлина</w:t>
      </w:r>
      <w:r w:rsidR="006C3E75" w:rsidRPr="001E7C6A">
        <w:rPr>
          <w:rFonts w:ascii="Times New Roman" w:eastAsia="Times New Roman" w:hAnsi="Times New Roman" w:cs="Times New Roman"/>
          <w:b/>
          <w:bCs/>
          <w:iCs/>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1E7C6A">
        <w:rPr>
          <w:rFonts w:ascii="Times New Roman" w:eastAsia="Times New Roman" w:hAnsi="Times New Roman" w:cs="Times New Roman"/>
          <w:b/>
          <w:bCs/>
          <w:iCs/>
          <w:sz w:val="24"/>
          <w:szCs w:val="24"/>
          <w:lang w:val="kk-KZ"/>
        </w:rPr>
        <w:t>8</w:t>
      </w:r>
      <w:r w:rsidR="00FD40E3" w:rsidRPr="001E7C6A">
        <w:rPr>
          <w:rFonts w:ascii="Times New Roman" w:eastAsia="Times New Roman" w:hAnsi="Times New Roman" w:cs="Times New Roman"/>
          <w:b/>
          <w:bCs/>
          <w:iCs/>
          <w:sz w:val="24"/>
          <w:szCs w:val="24"/>
          <w:lang w:val="kk-KZ"/>
        </w:rPr>
        <w:t>(7172)</w:t>
      </w:r>
      <w:r w:rsidR="00DE767D" w:rsidRPr="001E7C6A">
        <w:rPr>
          <w:rFonts w:ascii="Times New Roman" w:eastAsia="Times New Roman" w:hAnsi="Times New Roman" w:cs="Times New Roman"/>
          <w:b/>
          <w:bCs/>
          <w:iCs/>
          <w:sz w:val="24"/>
          <w:szCs w:val="24"/>
          <w:lang w:val="kk-KZ"/>
        </w:rPr>
        <w:t xml:space="preserve"> </w:t>
      </w:r>
      <w:r w:rsidR="000131F0" w:rsidRPr="001E7C6A">
        <w:rPr>
          <w:rFonts w:ascii="Times New Roman" w:eastAsia="Times New Roman" w:hAnsi="Times New Roman" w:cs="Times New Roman"/>
          <w:b/>
          <w:bCs/>
          <w:iCs/>
          <w:sz w:val="24"/>
          <w:szCs w:val="24"/>
          <w:lang w:val="kk-KZ"/>
        </w:rPr>
        <w:t>48</w:t>
      </w:r>
      <w:r w:rsidR="007A69FE" w:rsidRPr="001E7C6A">
        <w:rPr>
          <w:rFonts w:ascii="Times New Roman" w:eastAsia="Times New Roman" w:hAnsi="Times New Roman" w:cs="Times New Roman"/>
          <w:b/>
          <w:bCs/>
          <w:iCs/>
          <w:sz w:val="24"/>
          <w:szCs w:val="24"/>
          <w:lang w:val="kk-KZ"/>
        </w:rPr>
        <w:t>-</w:t>
      </w:r>
      <w:r w:rsidR="00FD40E3" w:rsidRPr="001E7C6A">
        <w:rPr>
          <w:rFonts w:ascii="Times New Roman" w:eastAsia="Times New Roman" w:hAnsi="Times New Roman" w:cs="Times New Roman"/>
          <w:b/>
          <w:bCs/>
          <w:iCs/>
          <w:sz w:val="24"/>
          <w:szCs w:val="24"/>
          <w:lang w:val="kk-KZ"/>
        </w:rPr>
        <w:t>18</w:t>
      </w:r>
      <w:r w:rsidR="007A69FE" w:rsidRPr="001E7C6A">
        <w:rPr>
          <w:rFonts w:ascii="Times New Roman" w:eastAsia="Times New Roman" w:hAnsi="Times New Roman" w:cs="Times New Roman"/>
          <w:b/>
          <w:bCs/>
          <w:iCs/>
          <w:sz w:val="24"/>
          <w:szCs w:val="24"/>
          <w:lang w:val="kk-KZ"/>
        </w:rPr>
        <w:t>-</w:t>
      </w:r>
      <w:r w:rsidR="000131F0" w:rsidRPr="001E7C6A">
        <w:rPr>
          <w:rFonts w:ascii="Times New Roman" w:eastAsia="Times New Roman" w:hAnsi="Times New Roman" w:cs="Times New Roman"/>
          <w:b/>
          <w:bCs/>
          <w:iCs/>
          <w:sz w:val="24"/>
          <w:szCs w:val="24"/>
          <w:lang w:val="kk-KZ"/>
        </w:rPr>
        <w:t>95</w:t>
      </w:r>
      <w:r w:rsidR="007A69FE" w:rsidRPr="001E7C6A">
        <w:rPr>
          <w:rFonts w:ascii="Times New Roman" w:eastAsia="Times New Roman" w:hAnsi="Times New Roman" w:cs="Times New Roman"/>
          <w:b/>
          <w:bCs/>
          <w:iCs/>
          <w:sz w:val="24"/>
          <w:szCs w:val="24"/>
          <w:lang w:val="kk-KZ"/>
        </w:rPr>
        <w:t xml:space="preserve">, </w:t>
      </w:r>
      <w:r w:rsidRPr="001E7C6A">
        <w:rPr>
          <w:rFonts w:ascii="Times New Roman" w:eastAsia="Times New Roman" w:hAnsi="Times New Roman" w:cs="Times New Roman"/>
          <w:b/>
          <w:sz w:val="24"/>
          <w:szCs w:val="24"/>
          <w:lang w:val="kk-KZ"/>
        </w:rPr>
        <w:t>e-mail:</w:t>
      </w:r>
      <w:r w:rsidRPr="001E7C6A">
        <w:rPr>
          <w:rFonts w:ascii="Times New Roman" w:hAnsi="Times New Roman" w:cs="Times New Roman"/>
          <w:b/>
          <w:bCs/>
          <w:iCs/>
          <w:sz w:val="24"/>
          <w:szCs w:val="24"/>
          <w:lang w:val="kk-KZ"/>
        </w:rPr>
        <w:t xml:space="preserve"> </w:t>
      </w:r>
      <w:hyperlink r:id="rId9" w:history="1">
        <w:r w:rsidR="00303A69" w:rsidRPr="001E7C6A">
          <w:rPr>
            <w:rStyle w:val="a4"/>
            <w:rFonts w:ascii="Times New Roman" w:hAnsi="Times New Roman" w:cs="Times New Roman"/>
            <w:b/>
            <w:bCs/>
            <w:iCs/>
            <w:sz w:val="24"/>
            <w:szCs w:val="24"/>
            <w:lang w:val="kk-KZ"/>
          </w:rPr>
          <w:t>a.baisalykova@kgd.gov.kz</w:t>
        </w:r>
      </w:hyperlink>
      <w:r w:rsidR="00303A69" w:rsidRPr="001E7C6A">
        <w:rPr>
          <w:rFonts w:ascii="Times New Roman" w:hAnsi="Times New Roman" w:cs="Times New Roman"/>
          <w:b/>
          <w:bCs/>
          <w:iCs/>
          <w:sz w:val="24"/>
          <w:szCs w:val="24"/>
          <w:lang w:val="kk-KZ"/>
        </w:rPr>
        <w:t xml:space="preserve"> </w:t>
      </w:r>
      <w:r w:rsidR="00806E65" w:rsidRPr="000F1003">
        <w:rPr>
          <w:rFonts w:ascii="Times New Roman" w:hAnsi="Times New Roman" w:cs="Times New Roman"/>
          <w:b/>
          <w:sz w:val="24"/>
          <w:szCs w:val="24"/>
          <w:lang w:val="kk-KZ"/>
        </w:rPr>
        <w:t xml:space="preserve">«Б» корпусының бос және уақытша бос </w:t>
      </w:r>
      <w:r w:rsidR="00C94B57" w:rsidRPr="000F1003">
        <w:rPr>
          <w:rFonts w:ascii="Times New Roman" w:hAnsi="Times New Roman" w:cs="Times New Roman"/>
          <w:b/>
          <w:sz w:val="24"/>
          <w:szCs w:val="24"/>
          <w:lang w:val="kk-KZ"/>
        </w:rPr>
        <w:t>мемлекеттік әкімшілік лауазым</w:t>
      </w:r>
      <w:r w:rsidR="00C94B57">
        <w:rPr>
          <w:rFonts w:ascii="Times New Roman" w:hAnsi="Times New Roman" w:cs="Times New Roman"/>
          <w:b/>
          <w:sz w:val="24"/>
          <w:szCs w:val="24"/>
          <w:lang w:val="kk-KZ"/>
        </w:rPr>
        <w:t>дар</w:t>
      </w:r>
      <w:r w:rsidR="00C94B57" w:rsidRPr="000F1003">
        <w:rPr>
          <w:rFonts w:ascii="Times New Roman" w:hAnsi="Times New Roman" w:cs="Times New Roman"/>
          <w:b/>
          <w:sz w:val="24"/>
          <w:szCs w:val="24"/>
          <w:lang w:val="kk-KZ"/>
        </w:rPr>
        <w:t xml:space="preserve">ына </w:t>
      </w:r>
      <w:r w:rsidR="006B33C2">
        <w:rPr>
          <w:rFonts w:ascii="Times New Roman" w:hAnsi="Times New Roman" w:cs="Times New Roman"/>
          <w:b/>
          <w:sz w:val="24"/>
          <w:szCs w:val="24"/>
          <w:lang w:val="kk-KZ"/>
        </w:rPr>
        <w:t>орналасу үшін</w:t>
      </w:r>
      <w:r w:rsidR="00806E65" w:rsidRPr="000F1003">
        <w:rPr>
          <w:rFonts w:ascii="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806E65" w:rsidRPr="001E7C6A">
        <w:rPr>
          <w:rFonts w:ascii="Times New Roman" w:hAnsi="Times New Roman" w:cs="Times New Roman"/>
          <w:b/>
          <w:sz w:val="24"/>
          <w:szCs w:val="24"/>
          <w:lang w:val="kk-KZ"/>
        </w:rPr>
        <w:t>:</w:t>
      </w:r>
    </w:p>
    <w:p w:rsidR="009E09C5" w:rsidRDefault="009E09C5" w:rsidP="00806E65">
      <w:pPr>
        <w:tabs>
          <w:tab w:val="left" w:pos="11057"/>
        </w:tabs>
        <w:spacing w:after="0" w:line="240" w:lineRule="auto"/>
        <w:jc w:val="both"/>
        <w:rPr>
          <w:rFonts w:ascii="Times New Roman" w:hAnsi="Times New Roman" w:cs="Times New Roman"/>
          <w:b/>
          <w:sz w:val="24"/>
          <w:szCs w:val="24"/>
          <w:lang w:val="kk-KZ"/>
        </w:rPr>
      </w:pPr>
    </w:p>
    <w:p w:rsidR="009E09C5" w:rsidRDefault="009E09C5" w:rsidP="009E09C5">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sz w:val="24"/>
          <w:szCs w:val="24"/>
          <w:lang w:val="kk-KZ"/>
        </w:rPr>
        <w:t xml:space="preserve">1. </w:t>
      </w:r>
      <w:r w:rsidRPr="0042677C">
        <w:rPr>
          <w:rFonts w:ascii="Times New Roman" w:eastAsia="Times New Roman" w:hAnsi="Times New Roman" w:cs="Times New Roman"/>
          <w:b/>
          <w:sz w:val="24"/>
          <w:szCs w:val="24"/>
          <w:lang w:val="kk-KZ"/>
        </w:rPr>
        <w:t xml:space="preserve">Заң бөлімінің бас маманы </w:t>
      </w:r>
      <w:r>
        <w:rPr>
          <w:rFonts w:ascii="Times New Roman" w:eastAsia="Times New Roman" w:hAnsi="Times New Roman" w:cs="Times New Roman"/>
          <w:b/>
          <w:sz w:val="24"/>
          <w:szCs w:val="24"/>
          <w:lang w:val="kk-KZ"/>
        </w:rPr>
        <w:t xml:space="preserve">С-R-4 санаты, </w:t>
      </w:r>
      <w:r>
        <w:rPr>
          <w:rFonts w:ascii="Times New Roman" w:eastAsia="Times New Roman" w:hAnsi="Times New Roman" w:cs="Times New Roman"/>
          <w:b/>
          <w:bCs/>
          <w:iCs/>
          <w:color w:val="000000"/>
          <w:sz w:val="24"/>
          <w:szCs w:val="24"/>
          <w:lang w:val="kk-KZ"/>
        </w:rPr>
        <w:t>1 бірлік, (</w:t>
      </w:r>
      <w:r w:rsidRPr="00746BB1">
        <w:rPr>
          <w:rFonts w:ascii="Times New Roman" w:eastAsia="Times New Roman" w:hAnsi="Times New Roman" w:cs="Times New Roman"/>
          <w:b/>
          <w:bCs/>
          <w:iCs/>
          <w:color w:val="000000"/>
          <w:sz w:val="24"/>
          <w:szCs w:val="24"/>
          <w:lang w:val="kk-KZ"/>
        </w:rPr>
        <w:t>уақытша, негізгі қызметкердін бала</w:t>
      </w:r>
      <w:r>
        <w:rPr>
          <w:rFonts w:ascii="Times New Roman" w:eastAsia="Times New Roman" w:hAnsi="Times New Roman" w:cs="Times New Roman"/>
          <w:b/>
          <w:bCs/>
          <w:iCs/>
          <w:color w:val="000000"/>
          <w:sz w:val="24"/>
          <w:szCs w:val="24"/>
          <w:lang w:val="kk-KZ"/>
        </w:rPr>
        <w:t xml:space="preserve"> күту бойынша демалыс мерзіміне </w:t>
      </w:r>
      <w:r w:rsidRPr="0097170C">
        <w:rPr>
          <w:rFonts w:ascii="Times New Roman" w:eastAsia="Times New Roman" w:hAnsi="Times New Roman" w:cs="Times New Roman"/>
          <w:b/>
          <w:bCs/>
          <w:iCs/>
          <w:sz w:val="24"/>
          <w:szCs w:val="24"/>
          <w:lang w:val="kk-KZ"/>
        </w:rPr>
        <w:t>17.09.2021 ж. дейін</w:t>
      </w:r>
      <w:r w:rsidRPr="0097170C">
        <w:rPr>
          <w:rFonts w:ascii="Times New Roman" w:eastAsia="Times New Roman" w:hAnsi="Times New Roman" w:cs="Times New Roman"/>
          <w:b/>
          <w:bCs/>
          <w:iCs/>
          <w:color w:val="000000"/>
          <w:sz w:val="24"/>
          <w:szCs w:val="24"/>
          <w:lang w:val="kk-KZ"/>
        </w:rPr>
        <w:t>)</w:t>
      </w:r>
    </w:p>
    <w:p w:rsidR="009E09C5" w:rsidRDefault="009E09C5" w:rsidP="009E09C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746BB1">
        <w:rPr>
          <w:lang w:val="kk-KZ"/>
        </w:rPr>
        <w:t xml:space="preserve"> </w:t>
      </w:r>
      <w:r w:rsidRPr="0042677C">
        <w:rPr>
          <w:rFonts w:ascii="Times New Roman" w:eastAsia="Times New Roman" w:hAnsi="Times New Roman" w:cs="Times New Roman"/>
          <w:bCs/>
          <w:iCs/>
          <w:color w:val="00000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алу.Кіріс және шығыс корреспонденциясын толық және мерзімінде  қарастыру.</w:t>
      </w:r>
    </w:p>
    <w:p w:rsidR="009E09C5" w:rsidRDefault="009E09C5" w:rsidP="009E09C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42677C">
        <w:rPr>
          <w:rFonts w:ascii="Times New Roman" w:eastAsia="Times New Roman" w:hAnsi="Times New Roman" w:cs="Times New Roman"/>
          <w:bCs/>
          <w:iCs/>
          <w:color w:val="000000"/>
          <w:sz w:val="24"/>
          <w:szCs w:val="24"/>
          <w:lang w:val="kk-KZ"/>
        </w:rPr>
        <w:t>Құқық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9E09C5" w:rsidRDefault="009E09C5" w:rsidP="009E09C5">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9E09C5">
        <w:rPr>
          <w:rFonts w:ascii="Times New Roman" w:eastAsia="Times New Roman" w:hAnsi="Times New Roman" w:cs="Times New Roman"/>
          <w:b/>
          <w:bCs/>
          <w:iCs/>
          <w:color w:val="000000"/>
          <w:sz w:val="24"/>
          <w:szCs w:val="24"/>
          <w:lang w:val="kk-KZ"/>
        </w:rPr>
        <w:t>2. Салықты бақылау бөлімінің бас маманы</w:t>
      </w:r>
      <w:r>
        <w:rPr>
          <w:rFonts w:ascii="Times New Roman" w:eastAsia="Times New Roman" w:hAnsi="Times New Roman" w:cs="Times New Roman"/>
          <w:b/>
          <w:bCs/>
          <w:iCs/>
          <w:color w:val="000000"/>
          <w:sz w:val="24"/>
          <w:szCs w:val="24"/>
          <w:lang w:val="kk-KZ"/>
        </w:rPr>
        <w:t xml:space="preserve"> </w:t>
      </w:r>
      <w:r>
        <w:rPr>
          <w:rFonts w:ascii="Times New Roman" w:eastAsia="Times New Roman" w:hAnsi="Times New Roman" w:cs="Times New Roman"/>
          <w:b/>
          <w:sz w:val="24"/>
          <w:szCs w:val="24"/>
          <w:lang w:val="kk-KZ"/>
        </w:rPr>
        <w:t xml:space="preserve">С -R-4 санаты, </w:t>
      </w:r>
      <w:r>
        <w:rPr>
          <w:rFonts w:ascii="Times New Roman" w:eastAsia="Times New Roman" w:hAnsi="Times New Roman" w:cs="Times New Roman"/>
          <w:b/>
          <w:bCs/>
          <w:iCs/>
          <w:color w:val="000000"/>
          <w:sz w:val="24"/>
          <w:szCs w:val="24"/>
          <w:lang w:val="kk-KZ"/>
        </w:rPr>
        <w:t>1 бірлік.</w:t>
      </w:r>
    </w:p>
    <w:p w:rsidR="009E09C5" w:rsidRDefault="009E09C5" w:rsidP="009E09C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9E09C5">
        <w:rPr>
          <w:rFonts w:ascii="Times New Roman" w:eastAsia="Times New Roman" w:hAnsi="Times New Roman" w:cs="Times New Roman"/>
          <w:bCs/>
          <w:iCs/>
          <w:color w:val="000000"/>
          <w:sz w:val="24"/>
          <w:szCs w:val="24"/>
          <w:lang w:val="kk-KZ"/>
        </w:rPr>
        <w:t xml:space="preserve">Салық тексерістерін жүргізу. Салықтар мен басқа да міндетті төлемдердің бюджетке толық түскені және міндетті зейнеткерлік жарналар мен әлеуметтік </w:t>
      </w:r>
      <w:r w:rsidRPr="009E09C5">
        <w:rPr>
          <w:rFonts w:ascii="Times New Roman" w:eastAsia="Times New Roman" w:hAnsi="Times New Roman" w:cs="Times New Roman"/>
          <w:bCs/>
          <w:iCs/>
          <w:color w:val="000000"/>
          <w:sz w:val="24"/>
          <w:szCs w:val="24"/>
          <w:lang w:val="kk-KZ"/>
        </w:rPr>
        <w:lastRenderedPageBreak/>
        <w:t>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r>
        <w:rPr>
          <w:rFonts w:ascii="Times New Roman" w:eastAsia="Times New Roman" w:hAnsi="Times New Roman" w:cs="Times New Roman"/>
          <w:bCs/>
          <w:iCs/>
          <w:color w:val="000000"/>
          <w:sz w:val="24"/>
          <w:szCs w:val="24"/>
          <w:lang w:val="kk-KZ"/>
        </w:rPr>
        <w:t>.</w:t>
      </w:r>
    </w:p>
    <w:p w:rsidR="009E09C5" w:rsidRDefault="009E09C5" w:rsidP="00806E65">
      <w:pPr>
        <w:tabs>
          <w:tab w:val="left" w:pos="11057"/>
        </w:tabs>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bCs/>
          <w:iCs/>
          <w:color w:val="000000"/>
          <w:sz w:val="24"/>
          <w:szCs w:val="24"/>
          <w:lang w:val="kk-KZ"/>
        </w:rPr>
        <w:t xml:space="preserve">           </w:t>
      </w: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9E09C5">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E09C5" w:rsidRPr="00A40162" w:rsidRDefault="009E09C5" w:rsidP="00A40162">
      <w:pPr>
        <w:widowControl w:val="0"/>
        <w:spacing w:after="0" w:line="240" w:lineRule="auto"/>
        <w:ind w:firstLine="708"/>
        <w:jc w:val="both"/>
        <w:rPr>
          <w:rFonts w:ascii="Times New Roman" w:eastAsia="Times New Roman" w:hAnsi="Times New Roman" w:cs="Times New Roman"/>
          <w:b/>
          <w:sz w:val="24"/>
          <w:szCs w:val="24"/>
          <w:lang w:val="kk-KZ"/>
        </w:rPr>
      </w:pPr>
      <w:r w:rsidRPr="009E09C5">
        <w:rPr>
          <w:rFonts w:ascii="Times New Roman" w:eastAsia="Times New Roman" w:hAnsi="Times New Roman" w:cs="Times New Roman"/>
          <w:b/>
          <w:sz w:val="24"/>
          <w:szCs w:val="24"/>
          <w:lang w:val="kk-KZ"/>
        </w:rPr>
        <w:t>3. Мәжбүрлеп өндіру бөлімінің бас маман</w:t>
      </w:r>
      <w:r>
        <w:rPr>
          <w:rFonts w:ascii="Times New Roman" w:eastAsia="Times New Roman" w:hAnsi="Times New Roman" w:cs="Times New Roman"/>
          <w:b/>
          <w:sz w:val="24"/>
          <w:szCs w:val="24"/>
          <w:lang w:val="kk-KZ"/>
        </w:rPr>
        <w:t xml:space="preserve">ы С -R-4 санаты, </w:t>
      </w:r>
      <w:r>
        <w:rPr>
          <w:rFonts w:ascii="Times New Roman" w:eastAsia="Times New Roman" w:hAnsi="Times New Roman" w:cs="Times New Roman"/>
          <w:b/>
          <w:bCs/>
          <w:iCs/>
          <w:color w:val="000000"/>
          <w:sz w:val="24"/>
          <w:szCs w:val="24"/>
          <w:lang w:val="kk-KZ"/>
        </w:rPr>
        <w:t>1 бірлік.</w:t>
      </w:r>
    </w:p>
    <w:p w:rsidR="009E09C5" w:rsidRDefault="00A40162" w:rsidP="00A40162">
      <w:pPr>
        <w:tabs>
          <w:tab w:val="left" w:pos="709"/>
          <w:tab w:val="left" w:pos="1134"/>
          <w:tab w:val="left" w:pos="11057"/>
        </w:tabs>
        <w:spacing w:after="0" w:line="240" w:lineRule="auto"/>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             </w:t>
      </w:r>
      <w:r w:rsidRPr="00A40162">
        <w:rPr>
          <w:rFonts w:ascii="Times New Roman" w:eastAsia="Times New Roman" w:hAnsi="Times New Roman" w:cs="Times New Roman"/>
          <w:b/>
          <w:bCs/>
          <w:iCs/>
          <w:color w:val="000000"/>
          <w:sz w:val="24"/>
          <w:szCs w:val="24"/>
          <w:lang w:val="kk-KZ"/>
        </w:rPr>
        <w:t>Қызметтік міндеттері:</w:t>
      </w:r>
      <w:r w:rsidRPr="00A40162">
        <w:rPr>
          <w:lang w:val="kk-KZ"/>
        </w:rPr>
        <w:t xml:space="preserve"> </w:t>
      </w:r>
      <w:r w:rsidRPr="00A40162">
        <w:rPr>
          <w:rFonts w:ascii="Times New Roman" w:eastAsia="Times New Roman" w:hAnsi="Times New Roman" w:cs="Times New Roman"/>
          <w:bCs/>
          <w:iCs/>
          <w:color w:val="000000"/>
          <w:sz w:val="24"/>
          <w:szCs w:val="24"/>
          <w:lang w:val="kk-KZ"/>
        </w:rPr>
        <w:t>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Кіріс және шығыс корреспонденциясын толық және мерзімінде  қарастыру.</w:t>
      </w:r>
    </w:p>
    <w:p w:rsidR="00A40162" w:rsidRPr="00A40162" w:rsidRDefault="00A40162" w:rsidP="00806E65">
      <w:pPr>
        <w:tabs>
          <w:tab w:val="left" w:pos="11057"/>
        </w:tabs>
        <w:spacing w:after="0" w:line="240" w:lineRule="auto"/>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            </w:t>
      </w: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A40162">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
          <w:bCs/>
          <w:iCs/>
          <w:sz w:val="24"/>
          <w:szCs w:val="24"/>
          <w:lang w:val="kk-KZ"/>
        </w:rPr>
      </w:pPr>
      <w:r w:rsidRPr="006B2B3B">
        <w:rPr>
          <w:rFonts w:ascii="Times New Roman" w:eastAsia="Times New Roman" w:hAnsi="Times New Roman" w:cs="Times New Roman"/>
          <w:b/>
          <w:bCs/>
          <w:iCs/>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A40162">
        <w:rPr>
          <w:rFonts w:ascii="Times New Roman" w:eastAsia="Times New Roman" w:hAnsi="Times New Roman" w:cs="Times New Roman"/>
          <w:bCs/>
          <w:iCs/>
          <w:sz w:val="24"/>
          <w:szCs w:val="24"/>
          <w:shd w:val="clear" w:color="auto" w:fill="FFFFFF"/>
          <w:lang w:val="kk-KZ"/>
        </w:rPr>
        <w:t>Астана</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w:t>
      </w:r>
      <w:r w:rsidRPr="006B2B3B">
        <w:rPr>
          <w:rFonts w:ascii="Times New Roman" w:eastAsia="Times New Roman" w:hAnsi="Times New Roman" w:cs="Times New Roman"/>
          <w:bCs/>
          <w:iCs/>
          <w:sz w:val="24"/>
          <w:szCs w:val="24"/>
          <w:lang w:val="kk-KZ"/>
        </w:rPr>
        <w:lastRenderedPageBreak/>
        <w:t xml:space="preserve">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A40162">
        <w:rPr>
          <w:rFonts w:ascii="Times New Roman" w:eastAsia="Times New Roman" w:hAnsi="Times New Roman" w:cs="Times New Roman"/>
          <w:bCs/>
          <w:iCs/>
          <w:sz w:val="24"/>
          <w:szCs w:val="24"/>
          <w:shd w:val="clear" w:color="auto" w:fill="FFFFFF"/>
          <w:lang w:val="kk-KZ"/>
        </w:rPr>
        <w:t>Астана</w:t>
      </w:r>
      <w:r w:rsidR="00073395" w:rsidRPr="000F1003">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t xml:space="preserve">тегі, аты және әкесінің аты (болған жағдайда)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(түрлі түсті/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t>лауазымы/должность, санаты/категория</w:t>
            </w:r>
            <w:r w:rsidRPr="009641C4">
              <w:rPr>
                <w:rFonts w:ascii="Times New Roman" w:hAnsi="Times New Roman"/>
                <w:sz w:val="24"/>
                <w:szCs w:val="24"/>
              </w:rPr>
              <w:br/>
              <w:t>(болған жағдайда/при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Туған күні және жері/</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Ұлты (қалауы бойынша)/</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Оқу орнын бітірген жылы және оныңатауы/</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Мамандығы бойынша біліктілігі, ғылыми дәрежесі, ғылыми атағы (болған жағдайда)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Шетел тілдерін білуі/</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Мемлекеттік наградалары, құрметті атақтары (болған жағдайда)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Дипломатиялық дәрежесі, әскери, арнайы атақтары, сыныптық шені (болған жағдайда)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w:t>
            </w:r>
            <w:r w:rsidRPr="009641C4">
              <w:rPr>
                <w:rFonts w:ascii="Times New Roman" w:hAnsi="Times New Roman"/>
                <w:sz w:val="24"/>
                <w:szCs w:val="24"/>
              </w:rPr>
              <w:lastRenderedPageBreak/>
              <w:t>толтырады)/</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Күні/Дата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қызметі, жұмыс орны, мекеменің орналасқан жері/должность,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қабылданған/</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босатылған/</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t>Кандидаттың қолы/</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t>күні/дата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63" w:rsidRDefault="00081763" w:rsidP="00537B9A">
      <w:pPr>
        <w:spacing w:after="0" w:line="240" w:lineRule="auto"/>
      </w:pPr>
      <w:r>
        <w:separator/>
      </w:r>
    </w:p>
  </w:endnote>
  <w:endnote w:type="continuationSeparator" w:id="0">
    <w:p w:rsidR="00081763" w:rsidRDefault="00081763"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63" w:rsidRDefault="00081763" w:rsidP="00537B9A">
      <w:pPr>
        <w:spacing w:after="0" w:line="240" w:lineRule="auto"/>
      </w:pPr>
      <w:r>
        <w:separator/>
      </w:r>
    </w:p>
  </w:footnote>
  <w:footnote w:type="continuationSeparator" w:id="0">
    <w:p w:rsidR="00081763" w:rsidRDefault="00081763"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694D3C">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4D3C" w:rsidRPr="00694D3C" w:rsidRDefault="00694D3C">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694D3C" w:rsidRPr="00694D3C" w:rsidRDefault="00694D3C">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r>
                            <w:rPr>
                              <w:rFonts w:ascii="Times New Roman" w:hAnsi="Times New Roman" w:cs="Times New Roman"/>
                              <w:color w:val="0C0000"/>
                              <w:sz w:val="14"/>
                            </w:rPr>
                            <w:t xml:space="preserve">16.05.2019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r>
                      <w:rPr>
                        <w:rFonts w:ascii="Times New Roman" w:hAnsi="Times New Roman" w:cs="Times New Roman"/>
                        <w:color w:val="0C0000"/>
                        <w:sz w:val="14"/>
                      </w:rPr>
                      <w:t xml:space="preserve">16.05.2019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1763"/>
    <w:rsid w:val="00082D4A"/>
    <w:rsid w:val="00096A7E"/>
    <w:rsid w:val="000A033F"/>
    <w:rsid w:val="000A4F44"/>
    <w:rsid w:val="000A5E43"/>
    <w:rsid w:val="000A6015"/>
    <w:rsid w:val="000B0ADB"/>
    <w:rsid w:val="000C2A2C"/>
    <w:rsid w:val="000E2509"/>
    <w:rsid w:val="000E2F61"/>
    <w:rsid w:val="000F1003"/>
    <w:rsid w:val="000F24D7"/>
    <w:rsid w:val="000F60A5"/>
    <w:rsid w:val="0010100A"/>
    <w:rsid w:val="001021BA"/>
    <w:rsid w:val="001041B4"/>
    <w:rsid w:val="0011064A"/>
    <w:rsid w:val="00113568"/>
    <w:rsid w:val="00115124"/>
    <w:rsid w:val="00120618"/>
    <w:rsid w:val="001211A7"/>
    <w:rsid w:val="0012797B"/>
    <w:rsid w:val="00140595"/>
    <w:rsid w:val="0014135A"/>
    <w:rsid w:val="00143F9B"/>
    <w:rsid w:val="00144894"/>
    <w:rsid w:val="00146043"/>
    <w:rsid w:val="00147E13"/>
    <w:rsid w:val="00167D30"/>
    <w:rsid w:val="00167D91"/>
    <w:rsid w:val="00197F13"/>
    <w:rsid w:val="001A0315"/>
    <w:rsid w:val="001B7BBD"/>
    <w:rsid w:val="001C61AD"/>
    <w:rsid w:val="001D1DCA"/>
    <w:rsid w:val="001D4041"/>
    <w:rsid w:val="001E4318"/>
    <w:rsid w:val="001E7C6A"/>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4C62"/>
    <w:rsid w:val="003A55DD"/>
    <w:rsid w:val="003A715D"/>
    <w:rsid w:val="003B6929"/>
    <w:rsid w:val="003C4C6E"/>
    <w:rsid w:val="003D1F08"/>
    <w:rsid w:val="003D5C48"/>
    <w:rsid w:val="003E1AC1"/>
    <w:rsid w:val="003F0BA5"/>
    <w:rsid w:val="0040292D"/>
    <w:rsid w:val="004034CC"/>
    <w:rsid w:val="004100F7"/>
    <w:rsid w:val="00417416"/>
    <w:rsid w:val="0042212A"/>
    <w:rsid w:val="00425988"/>
    <w:rsid w:val="0042677C"/>
    <w:rsid w:val="00430B51"/>
    <w:rsid w:val="0043363D"/>
    <w:rsid w:val="00434789"/>
    <w:rsid w:val="00435505"/>
    <w:rsid w:val="0044284C"/>
    <w:rsid w:val="0044362B"/>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94D3C"/>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6764"/>
    <w:rsid w:val="009903D2"/>
    <w:rsid w:val="009A0FD0"/>
    <w:rsid w:val="009A286D"/>
    <w:rsid w:val="009A4C9A"/>
    <w:rsid w:val="009B2A82"/>
    <w:rsid w:val="009B5449"/>
    <w:rsid w:val="009C6323"/>
    <w:rsid w:val="009C74E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C79"/>
    <w:rsid w:val="00F334BE"/>
    <w:rsid w:val="00F33C15"/>
    <w:rsid w:val="00F34165"/>
    <w:rsid w:val="00F3555A"/>
    <w:rsid w:val="00F57EC2"/>
    <w:rsid w:val="00F64238"/>
    <w:rsid w:val="00F65746"/>
    <w:rsid w:val="00F75B02"/>
    <w:rsid w:val="00F76127"/>
    <w:rsid w:val="00F80CBA"/>
    <w:rsid w:val="00F81EE8"/>
    <w:rsid w:val="00F81F88"/>
    <w:rsid w:val="00FA4F81"/>
    <w:rsid w:val="00FC2B7F"/>
    <w:rsid w:val="00FC4D15"/>
    <w:rsid w:val="00FC7CB5"/>
    <w:rsid w:val="00FD1308"/>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2DE0-C13B-431E-8DC6-E1E2A2BC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2019-07-15T14:30:00Z</dcterms:created>
  <dcterms:modified xsi:type="dcterms:W3CDTF">2019-07-15T14:30:00Z</dcterms:modified>
</cp:coreProperties>
</file>