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0"/>
      </w:tblGrid>
      <w:tr w:rsidR="006D0979" w:rsidTr="006D0979">
        <w:tc>
          <w:tcPr>
            <w:tcW w:w="9570" w:type="dxa"/>
            <w:shd w:val="clear" w:color="auto" w:fill="auto"/>
          </w:tcPr>
          <w:p w:rsidR="006D0979" w:rsidRPr="006D0979" w:rsidRDefault="006D0979" w:rsidP="003907D0">
            <w:pPr>
              <w:spacing w:after="0"/>
              <w:jc w:val="center"/>
              <w:rPr>
                <w:rFonts w:ascii="Times New Roman" w:eastAsia="Times New Roman" w:hAnsi="Times New Roman" w:cs="Times New Roman"/>
                <w:bCs/>
                <w:color w:val="0C0000"/>
                <w:sz w:val="24"/>
                <w:szCs w:val="28"/>
                <w:lang w:eastAsia="ru-RU"/>
              </w:rPr>
            </w:pPr>
          </w:p>
        </w:tc>
      </w:tr>
    </w:tbl>
    <w:p w:rsidR="006F3ED5" w:rsidRDefault="006F3ED5" w:rsidP="003907D0">
      <w:pPr>
        <w:spacing w:after="0"/>
        <w:ind w:firstLine="708"/>
        <w:jc w:val="center"/>
        <w:rPr>
          <w:rFonts w:ascii="Times New Roman" w:eastAsia="Times New Roman" w:hAnsi="Times New Roman" w:cs="Times New Roman"/>
          <w:b/>
          <w:bCs/>
          <w:sz w:val="28"/>
          <w:szCs w:val="28"/>
          <w:lang w:val="kk-KZ" w:eastAsia="ru-RU"/>
        </w:rPr>
      </w:pPr>
      <w:r w:rsidRPr="006F3ED5">
        <w:rPr>
          <w:rFonts w:ascii="Times New Roman" w:eastAsia="Times New Roman" w:hAnsi="Times New Roman" w:cs="Times New Roman"/>
          <w:b/>
          <w:bCs/>
          <w:sz w:val="28"/>
          <w:szCs w:val="28"/>
          <w:lang w:eastAsia="ru-RU"/>
        </w:rPr>
        <w:t>Метод по стоимости сделки с идентичными товарами (метод 2),</w:t>
      </w:r>
      <w:r w:rsidRPr="006F3ED5">
        <w:rPr>
          <w:rFonts w:ascii="Times New Roman" w:eastAsia="Times New Roman" w:hAnsi="Times New Roman" w:cs="Times New Roman"/>
          <w:b/>
          <w:bCs/>
          <w:sz w:val="28"/>
          <w:szCs w:val="28"/>
          <w:lang w:val="kk-KZ" w:eastAsia="ru-RU"/>
        </w:rPr>
        <w:t xml:space="preserve"> </w:t>
      </w:r>
      <w:r w:rsidRPr="006F3ED5">
        <w:rPr>
          <w:rFonts w:ascii="Times New Roman" w:eastAsia="Times New Roman" w:hAnsi="Times New Roman" w:cs="Times New Roman"/>
          <w:b/>
          <w:bCs/>
          <w:sz w:val="28"/>
          <w:szCs w:val="28"/>
          <w:lang w:eastAsia="ru-RU"/>
        </w:rPr>
        <w:t>Метод по стоимости сделки с однородными товарами (метод 3)</w:t>
      </w:r>
    </w:p>
    <w:p w:rsidR="00E250D4" w:rsidRPr="00E250D4" w:rsidRDefault="00E250D4" w:rsidP="00A23D0B">
      <w:pPr>
        <w:spacing w:after="0"/>
        <w:ind w:firstLine="708"/>
        <w:jc w:val="both"/>
        <w:rPr>
          <w:rFonts w:ascii="Times New Roman" w:eastAsia="Times New Roman" w:hAnsi="Times New Roman" w:cs="Times New Roman"/>
          <w:b/>
          <w:bCs/>
          <w:sz w:val="28"/>
          <w:szCs w:val="28"/>
          <w:lang w:val="kk-KZ" w:eastAsia="ru-RU"/>
        </w:rPr>
      </w:pPr>
    </w:p>
    <w:p w:rsidR="006A51E5" w:rsidRDefault="006A51E5" w:rsidP="006A51E5">
      <w:pPr>
        <w:spacing w:after="0" w:line="240" w:lineRule="auto"/>
        <w:ind w:firstLine="708"/>
        <w:jc w:val="both"/>
        <w:rPr>
          <w:rFonts w:ascii="Times New Roman" w:eastAsia="Times New Roman" w:hAnsi="Times New Roman" w:cs="Times New Roman"/>
          <w:sz w:val="28"/>
          <w:szCs w:val="28"/>
          <w:lang w:val="kk-KZ" w:eastAsia="ru-RU"/>
        </w:rPr>
      </w:pPr>
      <w:r w:rsidRPr="006A51E5">
        <w:rPr>
          <w:rFonts w:ascii="Times New Roman" w:eastAsia="Times New Roman" w:hAnsi="Times New Roman" w:cs="Times New Roman"/>
          <w:sz w:val="28"/>
          <w:szCs w:val="28"/>
          <w:lang w:eastAsia="ru-RU"/>
        </w:rPr>
        <w:t>Решение Коллегии Евразийской экономической комиссии от 30 октября 2012 года № 202</w:t>
      </w:r>
      <w:r w:rsidR="001952B0">
        <w:rPr>
          <w:rFonts w:ascii="Times New Roman" w:eastAsia="Times New Roman" w:hAnsi="Times New Roman" w:cs="Times New Roman"/>
          <w:sz w:val="28"/>
          <w:szCs w:val="28"/>
          <w:lang w:eastAsia="ru-RU"/>
        </w:rPr>
        <w:t xml:space="preserve"> утверждены «Правила применения</w:t>
      </w:r>
      <w:r>
        <w:rPr>
          <w:rFonts w:ascii="Times New Roman" w:eastAsia="Times New Roman" w:hAnsi="Times New Roman" w:cs="Times New Roman"/>
          <w:sz w:val="28"/>
          <w:szCs w:val="28"/>
          <w:lang w:eastAsia="ru-RU"/>
        </w:rPr>
        <w:t xml:space="preserve"> методов</w:t>
      </w:r>
      <w:r w:rsidRPr="004D69D3">
        <w:rPr>
          <w:rFonts w:ascii="Times New Roman" w:eastAsia="Times New Roman" w:hAnsi="Times New Roman" w:cs="Times New Roman"/>
          <w:sz w:val="28"/>
          <w:szCs w:val="28"/>
          <w:lang w:eastAsia="ru-RU"/>
        </w:rPr>
        <w:t xml:space="preserve"> </w:t>
      </w:r>
      <w:r w:rsidR="00330EF1" w:rsidRPr="00330EF1">
        <w:rPr>
          <w:rFonts w:ascii="Times New Roman" w:eastAsia="Times New Roman" w:hAnsi="Times New Roman" w:cs="Times New Roman"/>
          <w:sz w:val="28"/>
          <w:szCs w:val="28"/>
          <w:lang w:eastAsia="ru-RU"/>
        </w:rPr>
        <w:t>определения таможенной стоимости товаров по стоимости сделки с идентичными товарами (метод 2) и по стоимости сделки с однородными товарами (метод 3)</w:t>
      </w:r>
      <w:r w:rsidR="000B3BE4">
        <w:rPr>
          <w:rFonts w:ascii="Times New Roman" w:eastAsia="Times New Roman" w:hAnsi="Times New Roman" w:cs="Times New Roman"/>
          <w:sz w:val="28"/>
          <w:szCs w:val="28"/>
          <w:lang w:val="kk-KZ" w:eastAsia="ru-RU"/>
        </w:rPr>
        <w:t>»</w:t>
      </w:r>
      <w:r w:rsidR="00330EF1">
        <w:rPr>
          <w:rFonts w:ascii="Times New Roman" w:eastAsia="Times New Roman" w:hAnsi="Times New Roman" w:cs="Times New Roman"/>
          <w:sz w:val="28"/>
          <w:szCs w:val="28"/>
          <w:lang w:val="kk-KZ" w:eastAsia="ru-RU"/>
        </w:rPr>
        <w:t>.</w:t>
      </w:r>
    </w:p>
    <w:p w:rsidR="00D43ECE" w:rsidRDefault="00D43ECE" w:rsidP="003B2945">
      <w:pPr>
        <w:spacing w:after="0"/>
        <w:ind w:firstLine="708"/>
        <w:jc w:val="both"/>
        <w:rPr>
          <w:rFonts w:ascii="Times New Roman" w:eastAsia="Times New Roman" w:hAnsi="Times New Roman" w:cs="Times New Roman"/>
          <w:bCs/>
          <w:sz w:val="28"/>
          <w:szCs w:val="28"/>
          <w:lang w:val="kk-KZ" w:eastAsia="ru-RU"/>
        </w:rPr>
      </w:pPr>
      <w:r w:rsidRPr="00D43ECE">
        <w:rPr>
          <w:rFonts w:ascii="Times New Roman" w:eastAsia="Times New Roman" w:hAnsi="Times New Roman" w:cs="Times New Roman"/>
          <w:bCs/>
          <w:sz w:val="28"/>
          <w:szCs w:val="28"/>
          <w:lang w:eastAsia="ru-RU"/>
        </w:rPr>
        <w:t>При определении таможенной стоимости товаров по методу 2 или методу 3 используется стоимость сделки соответственно с идентичными или однородными товарами.</w:t>
      </w:r>
    </w:p>
    <w:p w:rsidR="003B2945" w:rsidRDefault="003B2945" w:rsidP="003B2945">
      <w:pPr>
        <w:spacing w:after="0"/>
        <w:ind w:firstLine="708"/>
        <w:jc w:val="both"/>
        <w:rPr>
          <w:rFonts w:ascii="Times New Roman" w:eastAsia="Times New Roman" w:hAnsi="Times New Roman" w:cs="Times New Roman"/>
          <w:bCs/>
          <w:sz w:val="28"/>
          <w:szCs w:val="28"/>
          <w:lang w:val="kk-KZ" w:eastAsia="ru-RU"/>
        </w:rPr>
      </w:pPr>
      <w:r w:rsidRPr="003B2945">
        <w:rPr>
          <w:rFonts w:ascii="Times New Roman" w:eastAsia="Times New Roman" w:hAnsi="Times New Roman" w:cs="Times New Roman"/>
          <w:bCs/>
          <w:sz w:val="28"/>
          <w:szCs w:val="28"/>
          <w:lang w:eastAsia="ru-RU"/>
        </w:rPr>
        <w:t>Таможенная стоимость товаров, ввозимых на таможенную территорию Таможенного союза, может определяться по методу 2, когда их таможенная стоимость не может быть определена по стоимости сделки с ввозимыми товарами (метод 1), а именно:</w:t>
      </w:r>
    </w:p>
    <w:p w:rsidR="008C4311" w:rsidRPr="008C4311" w:rsidRDefault="003B2945" w:rsidP="00AF09D5">
      <w:pPr>
        <w:spacing w:after="0"/>
        <w:ind w:firstLine="708"/>
        <w:jc w:val="both"/>
        <w:rPr>
          <w:rFonts w:ascii="Times New Roman" w:eastAsia="Times New Roman" w:hAnsi="Times New Roman" w:cs="Times New Roman"/>
          <w:bCs/>
          <w:sz w:val="28"/>
          <w:szCs w:val="28"/>
          <w:lang w:val="kk-KZ" w:eastAsia="ru-RU"/>
        </w:rPr>
      </w:pPr>
      <w:proofErr w:type="gramStart"/>
      <w:r w:rsidRPr="003B2945">
        <w:rPr>
          <w:rFonts w:ascii="Times New Roman" w:eastAsia="Times New Roman" w:hAnsi="Times New Roman" w:cs="Times New Roman"/>
          <w:bCs/>
          <w:sz w:val="28"/>
          <w:szCs w:val="28"/>
          <w:lang w:eastAsia="ru-RU"/>
        </w:rPr>
        <w:t>а) когда отсутствует сделка купли-продажи и цена, фактически уплаченная или подлежащая уплате за ввозимые товары (товары перемещаются через таможенную границу Таможенного союза по договору, отличному от договора купли-продажи, например по безвозмездному договору, по договору аренды, в котором установлена ежемесячная арендная плата за пользование товаром в течение определенного периода времени) (пункты 1 и 2 статьи 4 Соглашения);</w:t>
      </w:r>
      <w:proofErr w:type="gramEnd"/>
    </w:p>
    <w:p w:rsidR="003B2945" w:rsidRDefault="008C4311" w:rsidP="003B2945">
      <w:pPr>
        <w:spacing w:after="0"/>
        <w:ind w:firstLine="708"/>
        <w:jc w:val="both"/>
        <w:rPr>
          <w:rFonts w:ascii="Times New Roman" w:eastAsia="Times New Roman" w:hAnsi="Times New Roman" w:cs="Times New Roman"/>
          <w:bCs/>
          <w:sz w:val="28"/>
          <w:szCs w:val="28"/>
          <w:lang w:val="kk-KZ" w:eastAsia="ru-RU"/>
        </w:rPr>
      </w:pPr>
      <w:r w:rsidRPr="00E167EE">
        <w:rPr>
          <w:rFonts w:ascii="Times New Roman" w:eastAsia="Times New Roman" w:hAnsi="Times New Roman" w:cs="Times New Roman"/>
          <w:bCs/>
          <w:sz w:val="28"/>
          <w:szCs w:val="28"/>
          <w:lang w:val="kk-KZ" w:eastAsia="ru-RU"/>
        </w:rPr>
        <w:t xml:space="preserve">  </w:t>
      </w:r>
      <w:r w:rsidR="003B2945" w:rsidRPr="003B2945">
        <w:rPr>
          <w:rFonts w:ascii="Times New Roman" w:eastAsia="Times New Roman" w:hAnsi="Times New Roman" w:cs="Times New Roman"/>
          <w:bCs/>
          <w:sz w:val="28"/>
          <w:szCs w:val="28"/>
          <w:lang w:eastAsia="ru-RU"/>
        </w:rPr>
        <w:t>б) когда не выполняется хотя бы одно из условий применения метода 1, установленных пунктом 1 статьи 4 Соглашения;</w:t>
      </w:r>
    </w:p>
    <w:p w:rsidR="003B2945" w:rsidRDefault="008C4311" w:rsidP="003B2945">
      <w:pPr>
        <w:spacing w:after="0"/>
        <w:ind w:firstLine="708"/>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003B2945" w:rsidRPr="00E06F71">
        <w:rPr>
          <w:rFonts w:ascii="Times New Roman" w:eastAsia="Times New Roman" w:hAnsi="Times New Roman" w:cs="Times New Roman"/>
          <w:bCs/>
          <w:sz w:val="28"/>
          <w:szCs w:val="28"/>
          <w:lang w:eastAsia="ru-RU"/>
        </w:rPr>
        <w:t>в) когда отсутствует достоверная, количественно определяемая и документально подтвержденная информация о таможенной стоимости товаров, в том числе информация, необходимая для подтверждения цены, фактически уплаченной или подлежащей уплате, и осуществления дополнительных начислений к цене, фактически уплаченной или подлежащей уплате (пункт 3 статьи 2 Соглашения).</w:t>
      </w:r>
    </w:p>
    <w:p w:rsidR="008220EC" w:rsidRDefault="003B2945" w:rsidP="00DB48BE">
      <w:pPr>
        <w:spacing w:after="0"/>
        <w:ind w:firstLine="708"/>
        <w:jc w:val="both"/>
        <w:rPr>
          <w:rFonts w:ascii="Times New Roman" w:eastAsia="Times New Roman" w:hAnsi="Times New Roman" w:cs="Times New Roman"/>
          <w:bCs/>
          <w:sz w:val="28"/>
          <w:szCs w:val="28"/>
          <w:lang w:val="kk-KZ" w:eastAsia="ru-RU"/>
        </w:rPr>
      </w:pPr>
      <w:proofErr w:type="gramStart"/>
      <w:r w:rsidRPr="003B2945">
        <w:rPr>
          <w:rFonts w:ascii="Times New Roman" w:eastAsia="Times New Roman" w:hAnsi="Times New Roman" w:cs="Times New Roman"/>
          <w:bCs/>
          <w:sz w:val="28"/>
          <w:szCs w:val="28"/>
          <w:lang w:eastAsia="ru-RU"/>
        </w:rPr>
        <w:t>Таможенная стоимость товаров, ввозимых на таможенную территорию Таможенного союза, может определяться по методу 3, когда их таможенная стоимость не может быть определена по методу 1 и по методу 2 (например, отсутствуют сведения о стоимости сделки с идентичными товарами или сведения, документально подтверждающие обоснованность и точность корректировки стоимости, учитывающей различия в коммерческих уровнях продаж и (или) в количествах идентичных товаров).</w:t>
      </w:r>
      <w:proofErr w:type="gramEnd"/>
    </w:p>
    <w:p w:rsidR="006B15FA" w:rsidRDefault="00B12E8E" w:rsidP="006B15FA">
      <w:pPr>
        <w:spacing w:after="0"/>
        <w:ind w:firstLine="708"/>
        <w:jc w:val="both"/>
        <w:rPr>
          <w:lang w:val="kk-KZ"/>
        </w:rPr>
      </w:pPr>
      <w:r w:rsidRPr="00B12E8E">
        <w:rPr>
          <w:rFonts w:ascii="Times New Roman" w:eastAsia="Times New Roman" w:hAnsi="Times New Roman" w:cs="Times New Roman"/>
          <w:bCs/>
          <w:sz w:val="28"/>
          <w:szCs w:val="28"/>
          <w:lang w:val="kk-KZ" w:eastAsia="ru-RU"/>
        </w:rPr>
        <w:t xml:space="preserve">Согласно пункту 1 статьи 6 и пункту 1 статьи 7 Соглашения при определении таможенной стоимости оцениваемых (ввозимых) товаров по </w:t>
      </w:r>
      <w:r w:rsidRPr="00B12E8E">
        <w:rPr>
          <w:rFonts w:ascii="Times New Roman" w:eastAsia="Times New Roman" w:hAnsi="Times New Roman" w:cs="Times New Roman"/>
          <w:bCs/>
          <w:sz w:val="28"/>
          <w:szCs w:val="28"/>
          <w:lang w:val="kk-KZ" w:eastAsia="ru-RU"/>
        </w:rPr>
        <w:lastRenderedPageBreak/>
        <w:t>методу 2 или методу 3 за основу должна приниматься стоимость сделки с идентичными или однородными товарами, проданными для вывоза на таможенную территорию Таможенного союза и ввезенными на таможенную территорию Таможенного союза в тот же или в соответствующий ему период времени, что и оцениваемые (ввозимые) товары, но не ранее чем за 90 календарных дней до ввоза оцениваемых (ввозимых) товаров.</w:t>
      </w:r>
      <w:r w:rsidR="006B15FA" w:rsidRPr="006B15FA">
        <w:t xml:space="preserve"> </w:t>
      </w:r>
    </w:p>
    <w:p w:rsidR="00B12E8E" w:rsidRDefault="00B12E8E" w:rsidP="00B12E8E">
      <w:pPr>
        <w:spacing w:after="0"/>
        <w:ind w:firstLine="708"/>
        <w:jc w:val="both"/>
        <w:rPr>
          <w:rFonts w:ascii="Times New Roman" w:eastAsia="Times New Roman" w:hAnsi="Times New Roman" w:cs="Times New Roman"/>
          <w:bCs/>
          <w:sz w:val="28"/>
          <w:szCs w:val="28"/>
          <w:lang w:val="kk-KZ" w:eastAsia="ru-RU"/>
        </w:rPr>
      </w:pPr>
      <w:r w:rsidRPr="00B12E8E">
        <w:rPr>
          <w:rFonts w:ascii="Times New Roman" w:eastAsia="Times New Roman" w:hAnsi="Times New Roman" w:cs="Times New Roman"/>
          <w:bCs/>
          <w:sz w:val="28"/>
          <w:szCs w:val="28"/>
          <w:lang w:val="kk-KZ" w:eastAsia="ru-RU"/>
        </w:rPr>
        <w:t>Таким образом, Соглашение не устанавливает конкретный период времени, когда идентичные или однородные товары должны быть проданы и ввезены на таможенную территорию Таможенного союза, а определяет его как «тот же или соответствующий ему период времени».</w:t>
      </w:r>
    </w:p>
    <w:p w:rsidR="00B12E8E" w:rsidRPr="00B43E4F" w:rsidRDefault="00B12E8E" w:rsidP="00B12E8E">
      <w:pPr>
        <w:spacing w:after="0"/>
        <w:ind w:firstLine="708"/>
        <w:jc w:val="both"/>
        <w:rPr>
          <w:rFonts w:ascii="Times New Roman" w:eastAsia="Times New Roman" w:hAnsi="Times New Roman" w:cs="Times New Roman"/>
          <w:bCs/>
          <w:sz w:val="28"/>
          <w:szCs w:val="28"/>
          <w:lang w:val="kk-KZ" w:eastAsia="ru-RU"/>
        </w:rPr>
      </w:pPr>
      <w:r w:rsidRPr="00B43E4F">
        <w:rPr>
          <w:rFonts w:ascii="Times New Roman" w:eastAsia="Times New Roman" w:hAnsi="Times New Roman" w:cs="Times New Roman"/>
          <w:bCs/>
          <w:sz w:val="28"/>
          <w:szCs w:val="28"/>
          <w:lang w:val="kk-KZ" w:eastAsia="ru-RU"/>
        </w:rPr>
        <w:t>В качестве «того же или соответствующего ему периода времени» в целях применения метода 2 и метода 3 рассматривается период времени, не превышающий 90 календарных дней до ввоза оцениваемых (ввозимых) товаров на таможенную территорию Таможенного союза. Для определения такого периода времени датой ввоза оцениваемых (ввозимых) товаров следует считать дату прибытия этих товаров на таможенную территорию Таможенного союза.</w:t>
      </w:r>
    </w:p>
    <w:p w:rsidR="00B12E8E" w:rsidRDefault="00414513" w:rsidP="00B12E8E">
      <w:pPr>
        <w:spacing w:after="0"/>
        <w:ind w:firstLine="708"/>
        <w:jc w:val="both"/>
        <w:rPr>
          <w:rFonts w:ascii="Times New Roman" w:eastAsia="Times New Roman" w:hAnsi="Times New Roman" w:cs="Times New Roman"/>
          <w:bCs/>
          <w:sz w:val="28"/>
          <w:szCs w:val="28"/>
          <w:lang w:val="kk-KZ" w:eastAsia="ru-RU"/>
        </w:rPr>
      </w:pPr>
      <w:r w:rsidRPr="003C5B67">
        <w:rPr>
          <w:rFonts w:ascii="Times New Roman" w:eastAsia="Times New Roman" w:hAnsi="Times New Roman" w:cs="Times New Roman"/>
          <w:bCs/>
          <w:sz w:val="28"/>
          <w:szCs w:val="28"/>
          <w:lang w:val="kk-KZ" w:eastAsia="ru-RU"/>
        </w:rPr>
        <w:t xml:space="preserve"> </w:t>
      </w:r>
      <w:r w:rsidR="00E87715">
        <w:rPr>
          <w:rFonts w:ascii="Times New Roman" w:eastAsia="Times New Roman" w:hAnsi="Times New Roman" w:cs="Times New Roman"/>
          <w:bCs/>
          <w:sz w:val="28"/>
          <w:szCs w:val="28"/>
          <w:lang w:val="kk-KZ" w:eastAsia="ru-RU"/>
        </w:rPr>
        <w:t xml:space="preserve"> </w:t>
      </w:r>
      <w:r w:rsidR="00B12E8E" w:rsidRPr="00B12E8E">
        <w:rPr>
          <w:rFonts w:ascii="Times New Roman" w:eastAsia="Times New Roman" w:hAnsi="Times New Roman" w:cs="Times New Roman"/>
          <w:bCs/>
          <w:sz w:val="28"/>
          <w:szCs w:val="28"/>
          <w:lang w:val="kk-KZ" w:eastAsia="ru-RU"/>
        </w:rPr>
        <w:t>Выполнение условия о ввозе идентичных или однородных товаров на таможенную территорию Таможенного союза в течение 90 календарных дней до ввоза оцениваемых (ввозимых) товаров не влечет за собой автоматического принятия стоимости сделки с идентичными или однородными товарами в качестве таможенной стоимости оцениваемых (ввозимых) товаров. В данном случае при выборе «того же или соответствующего ему периода времени» следует рассматривать период времени, когда цены на оцениваемые (ввозимые) товары и на идентичные или однородные товары были сопоставимы, то есть необходимо учитывать конъюнктуру рынка данных товаров.</w:t>
      </w:r>
    </w:p>
    <w:p w:rsidR="00CB63BD" w:rsidRDefault="00CB63BD" w:rsidP="00B12E8E">
      <w:pPr>
        <w:spacing w:after="0"/>
        <w:ind w:firstLine="708"/>
        <w:jc w:val="both"/>
        <w:rPr>
          <w:rFonts w:ascii="Times New Roman" w:eastAsia="Times New Roman" w:hAnsi="Times New Roman" w:cs="Times New Roman"/>
          <w:bCs/>
          <w:sz w:val="28"/>
          <w:szCs w:val="28"/>
          <w:lang w:val="kk-KZ" w:eastAsia="ru-RU"/>
        </w:rPr>
      </w:pPr>
      <w:r w:rsidRPr="00CB63BD">
        <w:rPr>
          <w:rFonts w:ascii="Times New Roman" w:eastAsia="Times New Roman" w:hAnsi="Times New Roman" w:cs="Times New Roman"/>
          <w:bCs/>
          <w:sz w:val="28"/>
          <w:szCs w:val="28"/>
          <w:lang w:val="kk-KZ" w:eastAsia="ru-RU"/>
        </w:rPr>
        <w:t>Метод 2 или метод 3 не применяется, если отсутствуют документально подтвержденные сведения о ввозе на таможенную территорию Таможенного союза идентичных или однородных товаров либо сведения, документально подтверждающие обоснованность и точность корректировки стоимости сделки с идентичными или однородными товарами, учитывающей различия в коммерческих уровнях продаж и (или) в количествах идентичных или однородных товаров, а также значительную разницу в расходах, указанных в подпунктах 4 – 6 пункта 1 статьи 5 Соглашения, обусловленную различиями в расстояниях, на которые они перевозятся (транспортируются), и видах используемого транспорта.</w:t>
      </w:r>
    </w:p>
    <w:p w:rsidR="00556188" w:rsidRPr="006541B1" w:rsidRDefault="00C2097C" w:rsidP="006541B1">
      <w:pPr>
        <w:spacing w:after="0"/>
        <w:ind w:firstLine="708"/>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p>
    <w:p w:rsidR="00556188" w:rsidRPr="006B15FA" w:rsidRDefault="00556188" w:rsidP="006B15FA">
      <w:pPr>
        <w:spacing w:after="0"/>
        <w:jc w:val="both"/>
        <w:rPr>
          <w:rFonts w:ascii="Times New Roman" w:eastAsia="Times New Roman" w:hAnsi="Times New Roman" w:cs="Times New Roman"/>
          <w:b/>
          <w:bCs/>
          <w:sz w:val="28"/>
          <w:szCs w:val="28"/>
          <w:lang w:val="kk-KZ" w:eastAsia="ru-RU"/>
        </w:rPr>
      </w:pPr>
    </w:p>
    <w:p w:rsidR="00BC4874" w:rsidRDefault="00BC4874" w:rsidP="00BA4140">
      <w:pPr>
        <w:spacing w:after="0"/>
        <w:ind w:firstLine="708"/>
        <w:jc w:val="both"/>
        <w:rPr>
          <w:lang w:val="kk-KZ"/>
        </w:rPr>
      </w:pPr>
      <w:bookmarkStart w:id="0" w:name="_GoBack"/>
      <w:bookmarkEnd w:id="0"/>
    </w:p>
    <w:sectPr w:rsidR="00BC4874" w:rsidSect="00934B21">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E3" w:rsidRDefault="00C216E3" w:rsidP="006D0979">
      <w:pPr>
        <w:spacing w:after="0" w:line="240" w:lineRule="auto"/>
      </w:pPr>
      <w:r>
        <w:separator/>
      </w:r>
    </w:p>
  </w:endnote>
  <w:endnote w:type="continuationSeparator" w:id="0">
    <w:p w:rsidR="00C216E3" w:rsidRDefault="00C216E3" w:rsidP="006D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E3" w:rsidRDefault="00C216E3" w:rsidP="006D0979">
      <w:pPr>
        <w:spacing w:after="0" w:line="240" w:lineRule="auto"/>
      </w:pPr>
      <w:r>
        <w:separator/>
      </w:r>
    </w:p>
  </w:footnote>
  <w:footnote w:type="continuationSeparator" w:id="0">
    <w:p w:rsidR="00C216E3" w:rsidRDefault="00C216E3" w:rsidP="006D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979" w:rsidRDefault="006D0979">
    <w:pPr>
      <w:pStyle w:val="a8"/>
    </w:pPr>
    <w:r>
      <w:rPr>
        <w:noProof/>
        <w:lang w:eastAsia="ru-RU"/>
      </w:rPr>
      <mc:AlternateContent>
        <mc:Choice Requires="wps">
          <w:drawing>
            <wp:anchor distT="0" distB="0" distL="114300" distR="114300" simplePos="0" relativeHeight="251659264" behindDoc="0" locked="0" layoutInCell="1" allowOverlap="1" wp14:anchorId="17617287" wp14:editId="10735646">
              <wp:simplePos x="0" y="0"/>
              <wp:positionH relativeFrom="column">
                <wp:posOffset>6099175</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D0979" w:rsidRPr="006D0979" w:rsidRDefault="006D0979">
                          <w:pPr>
                            <w:rPr>
                              <w:rFonts w:ascii="Times New Roman" w:hAnsi="Times New Roman" w:cs="Times New Roman"/>
                              <w:color w:val="0C0000"/>
                              <w:sz w:val="14"/>
                            </w:rPr>
                          </w:pPr>
                          <w:r>
                            <w:rPr>
                              <w:rFonts w:ascii="Times New Roman" w:hAnsi="Times New Roman" w:cs="Times New Roman"/>
                              <w:color w:val="0C0000"/>
                              <w:sz w:val="14"/>
                            </w:rPr>
                            <w:t xml:space="preserve">03.04.2020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" filled="f" stroked="f" strokeweight=".5pt">
              <v:fill o:detectmouseclick="t"/>
              <v:textbox style="layout-flow:vertical;mso-layout-flow-alt:bottom-to-top">
                <w:txbxContent>
                  <w:p w:rsidR="006D0979" w:rsidRPr="006D0979" w:rsidRDefault="006D0979">
                    <w:pPr>
                      <w:rPr>
                        <w:rFonts w:ascii="Times New Roman" w:hAnsi="Times New Roman" w:cs="Times New Roman"/>
                        <w:color w:val="0C0000"/>
                        <w:sz w:val="14"/>
                      </w:rPr>
                    </w:pPr>
                    <w:r>
                      <w:rPr>
                        <w:rFonts w:ascii="Times New Roman" w:hAnsi="Times New Roman" w:cs="Times New Roman"/>
                        <w:color w:val="0C0000"/>
                        <w:sz w:val="14"/>
                      </w:rPr>
                      <w:t xml:space="preserve">03.04.2020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D178C"/>
    <w:multiLevelType w:val="multilevel"/>
    <w:tmpl w:val="3B5E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8234E"/>
    <w:multiLevelType w:val="multilevel"/>
    <w:tmpl w:val="20E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3B148B"/>
    <w:multiLevelType w:val="multilevel"/>
    <w:tmpl w:val="8CD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B37D9C"/>
    <w:multiLevelType w:val="multilevel"/>
    <w:tmpl w:val="2FE4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3E0DA8"/>
    <w:multiLevelType w:val="multilevel"/>
    <w:tmpl w:val="45A2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05492"/>
    <w:multiLevelType w:val="multilevel"/>
    <w:tmpl w:val="74F8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FA"/>
    <w:rsid w:val="000021DF"/>
    <w:rsid w:val="00002C09"/>
    <w:rsid w:val="00015696"/>
    <w:rsid w:val="00022183"/>
    <w:rsid w:val="00037F3B"/>
    <w:rsid w:val="00041AFA"/>
    <w:rsid w:val="00041D07"/>
    <w:rsid w:val="000579C4"/>
    <w:rsid w:val="00084B87"/>
    <w:rsid w:val="000B3BE4"/>
    <w:rsid w:val="000C1494"/>
    <w:rsid w:val="000C753D"/>
    <w:rsid w:val="001005FC"/>
    <w:rsid w:val="00101932"/>
    <w:rsid w:val="0013163F"/>
    <w:rsid w:val="00131FE4"/>
    <w:rsid w:val="00132819"/>
    <w:rsid w:val="001456A9"/>
    <w:rsid w:val="00185AC0"/>
    <w:rsid w:val="001952B0"/>
    <w:rsid w:val="001956BF"/>
    <w:rsid w:val="001B2080"/>
    <w:rsid w:val="001B3ED3"/>
    <w:rsid w:val="001D3CAF"/>
    <w:rsid w:val="00206DD5"/>
    <w:rsid w:val="0025136A"/>
    <w:rsid w:val="00254DC7"/>
    <w:rsid w:val="00295361"/>
    <w:rsid w:val="002A5486"/>
    <w:rsid w:val="002C6084"/>
    <w:rsid w:val="002D0732"/>
    <w:rsid w:val="002E6D28"/>
    <w:rsid w:val="00300976"/>
    <w:rsid w:val="00321A8C"/>
    <w:rsid w:val="003252FE"/>
    <w:rsid w:val="00330C47"/>
    <w:rsid w:val="00330EF1"/>
    <w:rsid w:val="003907D0"/>
    <w:rsid w:val="003A6029"/>
    <w:rsid w:val="003B2945"/>
    <w:rsid w:val="003C1652"/>
    <w:rsid w:val="003C5B67"/>
    <w:rsid w:val="003D33B4"/>
    <w:rsid w:val="00414513"/>
    <w:rsid w:val="004350F6"/>
    <w:rsid w:val="00451841"/>
    <w:rsid w:val="00492BDC"/>
    <w:rsid w:val="00495A71"/>
    <w:rsid w:val="00497A39"/>
    <w:rsid w:val="004C2699"/>
    <w:rsid w:val="005044DD"/>
    <w:rsid w:val="00546022"/>
    <w:rsid w:val="00556188"/>
    <w:rsid w:val="0059735E"/>
    <w:rsid w:val="005C725D"/>
    <w:rsid w:val="005D3E79"/>
    <w:rsid w:val="005D7026"/>
    <w:rsid w:val="005F1825"/>
    <w:rsid w:val="005F7675"/>
    <w:rsid w:val="0062218E"/>
    <w:rsid w:val="006541B1"/>
    <w:rsid w:val="006541C2"/>
    <w:rsid w:val="00660977"/>
    <w:rsid w:val="00666FE3"/>
    <w:rsid w:val="006760B0"/>
    <w:rsid w:val="006A51E5"/>
    <w:rsid w:val="006A66E5"/>
    <w:rsid w:val="006B15FA"/>
    <w:rsid w:val="006D0979"/>
    <w:rsid w:val="006E4CE5"/>
    <w:rsid w:val="006F3ED5"/>
    <w:rsid w:val="00731CE9"/>
    <w:rsid w:val="00740E81"/>
    <w:rsid w:val="007625E8"/>
    <w:rsid w:val="00784B9F"/>
    <w:rsid w:val="00796F6C"/>
    <w:rsid w:val="00797BEA"/>
    <w:rsid w:val="007E5978"/>
    <w:rsid w:val="007F49A1"/>
    <w:rsid w:val="007F5A72"/>
    <w:rsid w:val="008220EC"/>
    <w:rsid w:val="00851EBF"/>
    <w:rsid w:val="00851FD2"/>
    <w:rsid w:val="00876F3A"/>
    <w:rsid w:val="00880B3C"/>
    <w:rsid w:val="00895885"/>
    <w:rsid w:val="008C4311"/>
    <w:rsid w:val="00907C27"/>
    <w:rsid w:val="00931256"/>
    <w:rsid w:val="00934B21"/>
    <w:rsid w:val="0093584F"/>
    <w:rsid w:val="009749A4"/>
    <w:rsid w:val="009828AC"/>
    <w:rsid w:val="0099227C"/>
    <w:rsid w:val="009C7F4D"/>
    <w:rsid w:val="009E016D"/>
    <w:rsid w:val="009E36A3"/>
    <w:rsid w:val="00A06AA9"/>
    <w:rsid w:val="00A205B2"/>
    <w:rsid w:val="00A23D0B"/>
    <w:rsid w:val="00A50FB8"/>
    <w:rsid w:val="00A55919"/>
    <w:rsid w:val="00A60D5A"/>
    <w:rsid w:val="00AC54ED"/>
    <w:rsid w:val="00AF09D5"/>
    <w:rsid w:val="00AF1218"/>
    <w:rsid w:val="00AF4125"/>
    <w:rsid w:val="00B11AC4"/>
    <w:rsid w:val="00B12E8E"/>
    <w:rsid w:val="00B322EC"/>
    <w:rsid w:val="00B43E4F"/>
    <w:rsid w:val="00B65499"/>
    <w:rsid w:val="00B736BF"/>
    <w:rsid w:val="00B773A5"/>
    <w:rsid w:val="00B85937"/>
    <w:rsid w:val="00BA4140"/>
    <w:rsid w:val="00BC4353"/>
    <w:rsid w:val="00BC4874"/>
    <w:rsid w:val="00BD5EC4"/>
    <w:rsid w:val="00C138B8"/>
    <w:rsid w:val="00C2097C"/>
    <w:rsid w:val="00C216E3"/>
    <w:rsid w:val="00C319B6"/>
    <w:rsid w:val="00C35E22"/>
    <w:rsid w:val="00C4200F"/>
    <w:rsid w:val="00C426FE"/>
    <w:rsid w:val="00C53809"/>
    <w:rsid w:val="00C852B7"/>
    <w:rsid w:val="00CA5F16"/>
    <w:rsid w:val="00CB57DD"/>
    <w:rsid w:val="00CB63BD"/>
    <w:rsid w:val="00CD23D6"/>
    <w:rsid w:val="00CD7820"/>
    <w:rsid w:val="00CE7AF2"/>
    <w:rsid w:val="00D13D21"/>
    <w:rsid w:val="00D1645E"/>
    <w:rsid w:val="00D17BD8"/>
    <w:rsid w:val="00D43ECE"/>
    <w:rsid w:val="00D44C28"/>
    <w:rsid w:val="00D72134"/>
    <w:rsid w:val="00DA010D"/>
    <w:rsid w:val="00DA02CB"/>
    <w:rsid w:val="00DB48BE"/>
    <w:rsid w:val="00DC3891"/>
    <w:rsid w:val="00E0137B"/>
    <w:rsid w:val="00E06F71"/>
    <w:rsid w:val="00E10CFF"/>
    <w:rsid w:val="00E1553E"/>
    <w:rsid w:val="00E167EE"/>
    <w:rsid w:val="00E175FC"/>
    <w:rsid w:val="00E250D4"/>
    <w:rsid w:val="00E45D0F"/>
    <w:rsid w:val="00E70254"/>
    <w:rsid w:val="00E71618"/>
    <w:rsid w:val="00E74FA2"/>
    <w:rsid w:val="00E77DF0"/>
    <w:rsid w:val="00E87715"/>
    <w:rsid w:val="00EE758A"/>
    <w:rsid w:val="00F00942"/>
    <w:rsid w:val="00F03902"/>
    <w:rsid w:val="00F11A25"/>
    <w:rsid w:val="00F15C6B"/>
    <w:rsid w:val="00F30761"/>
    <w:rsid w:val="00F34C91"/>
    <w:rsid w:val="00F4431E"/>
    <w:rsid w:val="00F602E6"/>
    <w:rsid w:val="00F65E8E"/>
    <w:rsid w:val="00F77178"/>
    <w:rsid w:val="00FA4C70"/>
    <w:rsid w:val="00FC2B13"/>
    <w:rsid w:val="00FC5906"/>
    <w:rsid w:val="00FD0A10"/>
    <w:rsid w:val="00FF2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1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11A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11A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AC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11AC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11AC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B11AC4"/>
  </w:style>
  <w:style w:type="paragraph" w:styleId="a3">
    <w:name w:val="Normal (Web)"/>
    <w:basedOn w:val="a"/>
    <w:uiPriority w:val="99"/>
    <w:unhideWhenUsed/>
    <w:rsid w:val="00B11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1AC4"/>
    <w:rPr>
      <w:color w:val="0000FF"/>
      <w:u w:val="single"/>
    </w:rPr>
  </w:style>
  <w:style w:type="character" w:styleId="a5">
    <w:name w:val="FollowedHyperlink"/>
    <w:basedOn w:val="a0"/>
    <w:uiPriority w:val="99"/>
    <w:semiHidden/>
    <w:unhideWhenUsed/>
    <w:rsid w:val="00B11AC4"/>
    <w:rPr>
      <w:color w:val="800080"/>
      <w:u w:val="single"/>
    </w:rPr>
  </w:style>
  <w:style w:type="paragraph" w:customStyle="1" w:styleId="note">
    <w:name w:val="note"/>
    <w:basedOn w:val="a"/>
    <w:rsid w:val="00B11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11AC4"/>
  </w:style>
  <w:style w:type="paragraph" w:styleId="a6">
    <w:name w:val="Balloon Text"/>
    <w:basedOn w:val="a"/>
    <w:link w:val="a7"/>
    <w:uiPriority w:val="99"/>
    <w:semiHidden/>
    <w:unhideWhenUsed/>
    <w:rsid w:val="00BC43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353"/>
    <w:rPr>
      <w:rFonts w:ascii="Tahoma" w:hAnsi="Tahoma" w:cs="Tahoma"/>
      <w:sz w:val="16"/>
      <w:szCs w:val="16"/>
    </w:rPr>
  </w:style>
  <w:style w:type="paragraph" w:styleId="a8">
    <w:name w:val="header"/>
    <w:basedOn w:val="a"/>
    <w:link w:val="a9"/>
    <w:uiPriority w:val="99"/>
    <w:unhideWhenUsed/>
    <w:rsid w:val="006D09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0979"/>
  </w:style>
  <w:style w:type="paragraph" w:styleId="aa">
    <w:name w:val="footer"/>
    <w:basedOn w:val="a"/>
    <w:link w:val="ab"/>
    <w:uiPriority w:val="99"/>
    <w:unhideWhenUsed/>
    <w:rsid w:val="006D09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0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1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11A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11A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AC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11AC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11AC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B11AC4"/>
  </w:style>
  <w:style w:type="paragraph" w:styleId="a3">
    <w:name w:val="Normal (Web)"/>
    <w:basedOn w:val="a"/>
    <w:uiPriority w:val="99"/>
    <w:unhideWhenUsed/>
    <w:rsid w:val="00B11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1AC4"/>
    <w:rPr>
      <w:color w:val="0000FF"/>
      <w:u w:val="single"/>
    </w:rPr>
  </w:style>
  <w:style w:type="character" w:styleId="a5">
    <w:name w:val="FollowedHyperlink"/>
    <w:basedOn w:val="a0"/>
    <w:uiPriority w:val="99"/>
    <w:semiHidden/>
    <w:unhideWhenUsed/>
    <w:rsid w:val="00B11AC4"/>
    <w:rPr>
      <w:color w:val="800080"/>
      <w:u w:val="single"/>
    </w:rPr>
  </w:style>
  <w:style w:type="paragraph" w:customStyle="1" w:styleId="note">
    <w:name w:val="note"/>
    <w:basedOn w:val="a"/>
    <w:rsid w:val="00B11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11AC4"/>
  </w:style>
  <w:style w:type="paragraph" w:styleId="a6">
    <w:name w:val="Balloon Text"/>
    <w:basedOn w:val="a"/>
    <w:link w:val="a7"/>
    <w:uiPriority w:val="99"/>
    <w:semiHidden/>
    <w:unhideWhenUsed/>
    <w:rsid w:val="00BC43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4353"/>
    <w:rPr>
      <w:rFonts w:ascii="Tahoma" w:hAnsi="Tahoma" w:cs="Tahoma"/>
      <w:sz w:val="16"/>
      <w:szCs w:val="16"/>
    </w:rPr>
  </w:style>
  <w:style w:type="paragraph" w:styleId="a8">
    <w:name w:val="header"/>
    <w:basedOn w:val="a"/>
    <w:link w:val="a9"/>
    <w:uiPriority w:val="99"/>
    <w:unhideWhenUsed/>
    <w:rsid w:val="006D097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0979"/>
  </w:style>
  <w:style w:type="paragraph" w:styleId="aa">
    <w:name w:val="footer"/>
    <w:basedOn w:val="a"/>
    <w:link w:val="ab"/>
    <w:uiPriority w:val="99"/>
    <w:unhideWhenUsed/>
    <w:rsid w:val="006D09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7263">
      <w:bodyDiv w:val="1"/>
      <w:marLeft w:val="0"/>
      <w:marRight w:val="0"/>
      <w:marTop w:val="0"/>
      <w:marBottom w:val="0"/>
      <w:divBdr>
        <w:top w:val="none" w:sz="0" w:space="0" w:color="auto"/>
        <w:left w:val="none" w:sz="0" w:space="0" w:color="auto"/>
        <w:bottom w:val="none" w:sz="0" w:space="0" w:color="auto"/>
        <w:right w:val="none" w:sz="0" w:space="0" w:color="auto"/>
      </w:divBdr>
    </w:div>
    <w:div w:id="235015346">
      <w:bodyDiv w:val="1"/>
      <w:marLeft w:val="0"/>
      <w:marRight w:val="0"/>
      <w:marTop w:val="0"/>
      <w:marBottom w:val="0"/>
      <w:divBdr>
        <w:top w:val="none" w:sz="0" w:space="0" w:color="auto"/>
        <w:left w:val="none" w:sz="0" w:space="0" w:color="auto"/>
        <w:bottom w:val="none" w:sz="0" w:space="0" w:color="auto"/>
        <w:right w:val="none" w:sz="0" w:space="0" w:color="auto"/>
      </w:divBdr>
      <w:divsChild>
        <w:div w:id="926890152">
          <w:marLeft w:val="0"/>
          <w:marRight w:val="0"/>
          <w:marTop w:val="0"/>
          <w:marBottom w:val="0"/>
          <w:divBdr>
            <w:top w:val="none" w:sz="0" w:space="0" w:color="auto"/>
            <w:left w:val="none" w:sz="0" w:space="0" w:color="auto"/>
            <w:bottom w:val="none" w:sz="0" w:space="0" w:color="auto"/>
            <w:right w:val="none" w:sz="0" w:space="0" w:color="auto"/>
          </w:divBdr>
          <w:divsChild>
            <w:div w:id="2090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0581">
      <w:bodyDiv w:val="1"/>
      <w:marLeft w:val="0"/>
      <w:marRight w:val="0"/>
      <w:marTop w:val="0"/>
      <w:marBottom w:val="0"/>
      <w:divBdr>
        <w:top w:val="none" w:sz="0" w:space="0" w:color="auto"/>
        <w:left w:val="none" w:sz="0" w:space="0" w:color="auto"/>
        <w:bottom w:val="none" w:sz="0" w:space="0" w:color="auto"/>
        <w:right w:val="none" w:sz="0" w:space="0" w:color="auto"/>
      </w:divBdr>
      <w:divsChild>
        <w:div w:id="1424719694">
          <w:marLeft w:val="0"/>
          <w:marRight w:val="0"/>
          <w:marTop w:val="0"/>
          <w:marBottom w:val="0"/>
          <w:divBdr>
            <w:top w:val="none" w:sz="0" w:space="0" w:color="auto"/>
            <w:left w:val="none" w:sz="0" w:space="0" w:color="auto"/>
            <w:bottom w:val="none" w:sz="0" w:space="0" w:color="auto"/>
            <w:right w:val="none" w:sz="0" w:space="0" w:color="auto"/>
          </w:divBdr>
        </w:div>
      </w:divsChild>
    </w:div>
    <w:div w:id="328218020">
      <w:bodyDiv w:val="1"/>
      <w:marLeft w:val="0"/>
      <w:marRight w:val="0"/>
      <w:marTop w:val="0"/>
      <w:marBottom w:val="0"/>
      <w:divBdr>
        <w:top w:val="none" w:sz="0" w:space="0" w:color="auto"/>
        <w:left w:val="none" w:sz="0" w:space="0" w:color="auto"/>
        <w:bottom w:val="none" w:sz="0" w:space="0" w:color="auto"/>
        <w:right w:val="none" w:sz="0" w:space="0" w:color="auto"/>
      </w:divBdr>
      <w:divsChild>
        <w:div w:id="332681127">
          <w:marLeft w:val="0"/>
          <w:marRight w:val="0"/>
          <w:marTop w:val="0"/>
          <w:marBottom w:val="0"/>
          <w:divBdr>
            <w:top w:val="none" w:sz="0" w:space="0" w:color="auto"/>
            <w:left w:val="none" w:sz="0" w:space="0" w:color="auto"/>
            <w:bottom w:val="none" w:sz="0" w:space="0" w:color="auto"/>
            <w:right w:val="none" w:sz="0" w:space="0" w:color="auto"/>
          </w:divBdr>
        </w:div>
        <w:div w:id="1350834950">
          <w:marLeft w:val="0"/>
          <w:marRight w:val="0"/>
          <w:marTop w:val="0"/>
          <w:marBottom w:val="0"/>
          <w:divBdr>
            <w:top w:val="none" w:sz="0" w:space="0" w:color="auto"/>
            <w:left w:val="none" w:sz="0" w:space="0" w:color="auto"/>
            <w:bottom w:val="none" w:sz="0" w:space="0" w:color="auto"/>
            <w:right w:val="none" w:sz="0" w:space="0" w:color="auto"/>
          </w:divBdr>
          <w:divsChild>
            <w:div w:id="1942756813">
              <w:marLeft w:val="0"/>
              <w:marRight w:val="0"/>
              <w:marTop w:val="0"/>
              <w:marBottom w:val="0"/>
              <w:divBdr>
                <w:top w:val="none" w:sz="0" w:space="0" w:color="auto"/>
                <w:left w:val="none" w:sz="0" w:space="0" w:color="auto"/>
                <w:bottom w:val="none" w:sz="0" w:space="0" w:color="auto"/>
                <w:right w:val="none" w:sz="0" w:space="0" w:color="auto"/>
              </w:divBdr>
            </w:div>
          </w:divsChild>
        </w:div>
        <w:div w:id="1348950134">
          <w:marLeft w:val="0"/>
          <w:marRight w:val="0"/>
          <w:marTop w:val="0"/>
          <w:marBottom w:val="0"/>
          <w:divBdr>
            <w:top w:val="none" w:sz="0" w:space="0" w:color="auto"/>
            <w:left w:val="none" w:sz="0" w:space="0" w:color="auto"/>
            <w:bottom w:val="none" w:sz="0" w:space="0" w:color="auto"/>
            <w:right w:val="none" w:sz="0" w:space="0" w:color="auto"/>
          </w:divBdr>
          <w:divsChild>
            <w:div w:id="1411075266">
              <w:marLeft w:val="0"/>
              <w:marRight w:val="0"/>
              <w:marTop w:val="0"/>
              <w:marBottom w:val="0"/>
              <w:divBdr>
                <w:top w:val="none" w:sz="0" w:space="0" w:color="auto"/>
                <w:left w:val="none" w:sz="0" w:space="0" w:color="auto"/>
                <w:bottom w:val="none" w:sz="0" w:space="0" w:color="auto"/>
                <w:right w:val="none" w:sz="0" w:space="0" w:color="auto"/>
              </w:divBdr>
            </w:div>
          </w:divsChild>
        </w:div>
        <w:div w:id="61682657">
          <w:marLeft w:val="0"/>
          <w:marRight w:val="0"/>
          <w:marTop w:val="0"/>
          <w:marBottom w:val="0"/>
          <w:divBdr>
            <w:top w:val="none" w:sz="0" w:space="0" w:color="auto"/>
            <w:left w:val="none" w:sz="0" w:space="0" w:color="auto"/>
            <w:bottom w:val="none" w:sz="0" w:space="0" w:color="auto"/>
            <w:right w:val="none" w:sz="0" w:space="0" w:color="auto"/>
          </w:divBdr>
          <w:divsChild>
            <w:div w:id="998196719">
              <w:marLeft w:val="0"/>
              <w:marRight w:val="0"/>
              <w:marTop w:val="0"/>
              <w:marBottom w:val="0"/>
              <w:divBdr>
                <w:top w:val="none" w:sz="0" w:space="0" w:color="auto"/>
                <w:left w:val="none" w:sz="0" w:space="0" w:color="auto"/>
                <w:bottom w:val="none" w:sz="0" w:space="0" w:color="auto"/>
                <w:right w:val="none" w:sz="0" w:space="0" w:color="auto"/>
              </w:divBdr>
              <w:divsChild>
                <w:div w:id="1028684220">
                  <w:marLeft w:val="0"/>
                  <w:marRight w:val="0"/>
                  <w:marTop w:val="0"/>
                  <w:marBottom w:val="0"/>
                  <w:divBdr>
                    <w:top w:val="none" w:sz="0" w:space="0" w:color="auto"/>
                    <w:left w:val="none" w:sz="0" w:space="0" w:color="auto"/>
                    <w:bottom w:val="none" w:sz="0" w:space="0" w:color="auto"/>
                    <w:right w:val="none" w:sz="0" w:space="0" w:color="auto"/>
                  </w:divBdr>
                  <w:divsChild>
                    <w:div w:id="1361275896">
                      <w:marLeft w:val="0"/>
                      <w:marRight w:val="0"/>
                      <w:marTop w:val="0"/>
                      <w:marBottom w:val="0"/>
                      <w:divBdr>
                        <w:top w:val="none" w:sz="0" w:space="0" w:color="auto"/>
                        <w:left w:val="none" w:sz="0" w:space="0" w:color="auto"/>
                        <w:bottom w:val="none" w:sz="0" w:space="0" w:color="auto"/>
                        <w:right w:val="none" w:sz="0" w:space="0" w:color="auto"/>
                      </w:divBdr>
                      <w:divsChild>
                        <w:div w:id="1232693118">
                          <w:marLeft w:val="0"/>
                          <w:marRight w:val="0"/>
                          <w:marTop w:val="0"/>
                          <w:marBottom w:val="0"/>
                          <w:divBdr>
                            <w:top w:val="none" w:sz="0" w:space="0" w:color="auto"/>
                            <w:left w:val="none" w:sz="0" w:space="0" w:color="auto"/>
                            <w:bottom w:val="none" w:sz="0" w:space="0" w:color="auto"/>
                            <w:right w:val="none" w:sz="0" w:space="0" w:color="auto"/>
                          </w:divBdr>
                        </w:div>
                        <w:div w:id="1902406102">
                          <w:marLeft w:val="0"/>
                          <w:marRight w:val="0"/>
                          <w:marTop w:val="0"/>
                          <w:marBottom w:val="0"/>
                          <w:divBdr>
                            <w:top w:val="none" w:sz="0" w:space="0" w:color="auto"/>
                            <w:left w:val="none" w:sz="0" w:space="0" w:color="auto"/>
                            <w:bottom w:val="none" w:sz="0" w:space="0" w:color="auto"/>
                            <w:right w:val="none" w:sz="0" w:space="0" w:color="auto"/>
                          </w:divBdr>
                          <w:divsChild>
                            <w:div w:id="61877544">
                              <w:marLeft w:val="0"/>
                              <w:marRight w:val="0"/>
                              <w:marTop w:val="0"/>
                              <w:marBottom w:val="0"/>
                              <w:divBdr>
                                <w:top w:val="none" w:sz="0" w:space="0" w:color="auto"/>
                                <w:left w:val="none" w:sz="0" w:space="0" w:color="auto"/>
                                <w:bottom w:val="none" w:sz="0" w:space="0" w:color="auto"/>
                                <w:right w:val="none" w:sz="0" w:space="0" w:color="auto"/>
                              </w:divBdr>
                            </w:div>
                            <w:div w:id="15947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331921">
          <w:marLeft w:val="0"/>
          <w:marRight w:val="0"/>
          <w:marTop w:val="0"/>
          <w:marBottom w:val="0"/>
          <w:divBdr>
            <w:top w:val="none" w:sz="0" w:space="0" w:color="auto"/>
            <w:left w:val="none" w:sz="0" w:space="0" w:color="auto"/>
            <w:bottom w:val="none" w:sz="0" w:space="0" w:color="auto"/>
            <w:right w:val="none" w:sz="0" w:space="0" w:color="auto"/>
          </w:divBdr>
          <w:divsChild>
            <w:div w:id="1711494268">
              <w:marLeft w:val="0"/>
              <w:marRight w:val="0"/>
              <w:marTop w:val="0"/>
              <w:marBottom w:val="0"/>
              <w:divBdr>
                <w:top w:val="none" w:sz="0" w:space="0" w:color="auto"/>
                <w:left w:val="none" w:sz="0" w:space="0" w:color="auto"/>
                <w:bottom w:val="none" w:sz="0" w:space="0" w:color="auto"/>
                <w:right w:val="none" w:sz="0" w:space="0" w:color="auto"/>
              </w:divBdr>
              <w:divsChild>
                <w:div w:id="14009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174">
          <w:marLeft w:val="0"/>
          <w:marRight w:val="0"/>
          <w:marTop w:val="0"/>
          <w:marBottom w:val="0"/>
          <w:divBdr>
            <w:top w:val="none" w:sz="0" w:space="0" w:color="auto"/>
            <w:left w:val="none" w:sz="0" w:space="0" w:color="auto"/>
            <w:bottom w:val="none" w:sz="0" w:space="0" w:color="auto"/>
            <w:right w:val="none" w:sz="0" w:space="0" w:color="auto"/>
          </w:divBdr>
          <w:divsChild>
            <w:div w:id="323903103">
              <w:marLeft w:val="0"/>
              <w:marRight w:val="0"/>
              <w:marTop w:val="0"/>
              <w:marBottom w:val="0"/>
              <w:divBdr>
                <w:top w:val="none" w:sz="0" w:space="0" w:color="auto"/>
                <w:left w:val="none" w:sz="0" w:space="0" w:color="auto"/>
                <w:bottom w:val="none" w:sz="0" w:space="0" w:color="auto"/>
                <w:right w:val="none" w:sz="0" w:space="0" w:color="auto"/>
              </w:divBdr>
              <w:divsChild>
                <w:div w:id="918441337">
                  <w:marLeft w:val="0"/>
                  <w:marRight w:val="0"/>
                  <w:marTop w:val="0"/>
                  <w:marBottom w:val="0"/>
                  <w:divBdr>
                    <w:top w:val="none" w:sz="0" w:space="0" w:color="auto"/>
                    <w:left w:val="none" w:sz="0" w:space="0" w:color="auto"/>
                    <w:bottom w:val="none" w:sz="0" w:space="0" w:color="auto"/>
                    <w:right w:val="none" w:sz="0" w:space="0" w:color="auto"/>
                  </w:divBdr>
                </w:div>
                <w:div w:id="195311804">
                  <w:marLeft w:val="0"/>
                  <w:marRight w:val="0"/>
                  <w:marTop w:val="0"/>
                  <w:marBottom w:val="0"/>
                  <w:divBdr>
                    <w:top w:val="none" w:sz="0" w:space="0" w:color="auto"/>
                    <w:left w:val="none" w:sz="0" w:space="0" w:color="auto"/>
                    <w:bottom w:val="none" w:sz="0" w:space="0" w:color="auto"/>
                    <w:right w:val="none" w:sz="0" w:space="0" w:color="auto"/>
                  </w:divBdr>
                </w:div>
              </w:divsChild>
            </w:div>
            <w:div w:id="156965678">
              <w:marLeft w:val="0"/>
              <w:marRight w:val="0"/>
              <w:marTop w:val="0"/>
              <w:marBottom w:val="0"/>
              <w:divBdr>
                <w:top w:val="none" w:sz="0" w:space="0" w:color="auto"/>
                <w:left w:val="none" w:sz="0" w:space="0" w:color="auto"/>
                <w:bottom w:val="none" w:sz="0" w:space="0" w:color="auto"/>
                <w:right w:val="none" w:sz="0" w:space="0" w:color="auto"/>
              </w:divBdr>
            </w:div>
            <w:div w:id="298535266">
              <w:marLeft w:val="0"/>
              <w:marRight w:val="0"/>
              <w:marTop w:val="0"/>
              <w:marBottom w:val="0"/>
              <w:divBdr>
                <w:top w:val="none" w:sz="0" w:space="0" w:color="auto"/>
                <w:left w:val="none" w:sz="0" w:space="0" w:color="auto"/>
                <w:bottom w:val="none" w:sz="0" w:space="0" w:color="auto"/>
                <w:right w:val="none" w:sz="0" w:space="0" w:color="auto"/>
              </w:divBdr>
            </w:div>
          </w:divsChild>
        </w:div>
        <w:div w:id="1956791985">
          <w:marLeft w:val="0"/>
          <w:marRight w:val="0"/>
          <w:marTop w:val="0"/>
          <w:marBottom w:val="0"/>
          <w:divBdr>
            <w:top w:val="none" w:sz="0" w:space="0" w:color="auto"/>
            <w:left w:val="none" w:sz="0" w:space="0" w:color="auto"/>
            <w:bottom w:val="none" w:sz="0" w:space="0" w:color="auto"/>
            <w:right w:val="none" w:sz="0" w:space="0" w:color="auto"/>
          </w:divBdr>
        </w:div>
      </w:divsChild>
    </w:div>
    <w:div w:id="410587504">
      <w:bodyDiv w:val="1"/>
      <w:marLeft w:val="0"/>
      <w:marRight w:val="0"/>
      <w:marTop w:val="0"/>
      <w:marBottom w:val="0"/>
      <w:divBdr>
        <w:top w:val="none" w:sz="0" w:space="0" w:color="auto"/>
        <w:left w:val="none" w:sz="0" w:space="0" w:color="auto"/>
        <w:bottom w:val="none" w:sz="0" w:space="0" w:color="auto"/>
        <w:right w:val="none" w:sz="0" w:space="0" w:color="auto"/>
      </w:divBdr>
      <w:divsChild>
        <w:div w:id="1108238324">
          <w:marLeft w:val="0"/>
          <w:marRight w:val="0"/>
          <w:marTop w:val="0"/>
          <w:marBottom w:val="0"/>
          <w:divBdr>
            <w:top w:val="none" w:sz="0" w:space="0" w:color="auto"/>
            <w:left w:val="none" w:sz="0" w:space="0" w:color="auto"/>
            <w:bottom w:val="none" w:sz="0" w:space="0" w:color="auto"/>
            <w:right w:val="none" w:sz="0" w:space="0" w:color="auto"/>
          </w:divBdr>
        </w:div>
        <w:div w:id="473527685">
          <w:marLeft w:val="0"/>
          <w:marRight w:val="0"/>
          <w:marTop w:val="0"/>
          <w:marBottom w:val="0"/>
          <w:divBdr>
            <w:top w:val="none" w:sz="0" w:space="0" w:color="auto"/>
            <w:left w:val="none" w:sz="0" w:space="0" w:color="auto"/>
            <w:bottom w:val="none" w:sz="0" w:space="0" w:color="auto"/>
            <w:right w:val="none" w:sz="0" w:space="0" w:color="auto"/>
          </w:divBdr>
          <w:divsChild>
            <w:div w:id="1463107966">
              <w:marLeft w:val="0"/>
              <w:marRight w:val="0"/>
              <w:marTop w:val="0"/>
              <w:marBottom w:val="0"/>
              <w:divBdr>
                <w:top w:val="none" w:sz="0" w:space="0" w:color="auto"/>
                <w:left w:val="none" w:sz="0" w:space="0" w:color="auto"/>
                <w:bottom w:val="none" w:sz="0" w:space="0" w:color="auto"/>
                <w:right w:val="none" w:sz="0" w:space="0" w:color="auto"/>
              </w:divBdr>
              <w:divsChild>
                <w:div w:id="2009364517">
                  <w:marLeft w:val="0"/>
                  <w:marRight w:val="0"/>
                  <w:marTop w:val="0"/>
                  <w:marBottom w:val="0"/>
                  <w:divBdr>
                    <w:top w:val="none" w:sz="0" w:space="0" w:color="auto"/>
                    <w:left w:val="none" w:sz="0" w:space="0" w:color="auto"/>
                    <w:bottom w:val="none" w:sz="0" w:space="0" w:color="auto"/>
                    <w:right w:val="none" w:sz="0" w:space="0" w:color="auto"/>
                  </w:divBdr>
                  <w:divsChild>
                    <w:div w:id="2090151499">
                      <w:marLeft w:val="0"/>
                      <w:marRight w:val="0"/>
                      <w:marTop w:val="0"/>
                      <w:marBottom w:val="0"/>
                      <w:divBdr>
                        <w:top w:val="none" w:sz="0" w:space="0" w:color="auto"/>
                        <w:left w:val="none" w:sz="0" w:space="0" w:color="auto"/>
                        <w:bottom w:val="none" w:sz="0" w:space="0" w:color="auto"/>
                        <w:right w:val="none" w:sz="0" w:space="0" w:color="auto"/>
                      </w:divBdr>
                      <w:divsChild>
                        <w:div w:id="1017342678">
                          <w:marLeft w:val="0"/>
                          <w:marRight w:val="0"/>
                          <w:marTop w:val="0"/>
                          <w:marBottom w:val="0"/>
                          <w:divBdr>
                            <w:top w:val="none" w:sz="0" w:space="0" w:color="auto"/>
                            <w:left w:val="none" w:sz="0" w:space="0" w:color="auto"/>
                            <w:bottom w:val="none" w:sz="0" w:space="0" w:color="auto"/>
                            <w:right w:val="none" w:sz="0" w:space="0" w:color="auto"/>
                          </w:divBdr>
                          <w:divsChild>
                            <w:div w:id="701633464">
                              <w:marLeft w:val="0"/>
                              <w:marRight w:val="0"/>
                              <w:marTop w:val="0"/>
                              <w:marBottom w:val="0"/>
                              <w:divBdr>
                                <w:top w:val="none" w:sz="0" w:space="0" w:color="auto"/>
                                <w:left w:val="none" w:sz="0" w:space="0" w:color="auto"/>
                                <w:bottom w:val="none" w:sz="0" w:space="0" w:color="auto"/>
                                <w:right w:val="none" w:sz="0" w:space="0" w:color="auto"/>
                              </w:divBdr>
                            </w:div>
                            <w:div w:id="236135321">
                              <w:marLeft w:val="0"/>
                              <w:marRight w:val="0"/>
                              <w:marTop w:val="0"/>
                              <w:marBottom w:val="0"/>
                              <w:divBdr>
                                <w:top w:val="none" w:sz="0" w:space="0" w:color="auto"/>
                                <w:left w:val="none" w:sz="0" w:space="0" w:color="auto"/>
                                <w:bottom w:val="none" w:sz="0" w:space="0" w:color="auto"/>
                                <w:right w:val="none" w:sz="0" w:space="0" w:color="auto"/>
                              </w:divBdr>
                            </w:div>
                          </w:divsChild>
                        </w:div>
                        <w:div w:id="51317337">
                          <w:marLeft w:val="0"/>
                          <w:marRight w:val="0"/>
                          <w:marTop w:val="0"/>
                          <w:marBottom w:val="0"/>
                          <w:divBdr>
                            <w:top w:val="none" w:sz="0" w:space="0" w:color="auto"/>
                            <w:left w:val="none" w:sz="0" w:space="0" w:color="auto"/>
                            <w:bottom w:val="none" w:sz="0" w:space="0" w:color="auto"/>
                            <w:right w:val="none" w:sz="0" w:space="0" w:color="auto"/>
                          </w:divBdr>
                          <w:divsChild>
                            <w:div w:id="82652380">
                              <w:marLeft w:val="0"/>
                              <w:marRight w:val="0"/>
                              <w:marTop w:val="0"/>
                              <w:marBottom w:val="0"/>
                              <w:divBdr>
                                <w:top w:val="none" w:sz="0" w:space="0" w:color="auto"/>
                                <w:left w:val="none" w:sz="0" w:space="0" w:color="auto"/>
                                <w:bottom w:val="none" w:sz="0" w:space="0" w:color="auto"/>
                                <w:right w:val="none" w:sz="0" w:space="0" w:color="auto"/>
                              </w:divBdr>
                              <w:divsChild>
                                <w:div w:id="350029311">
                                  <w:marLeft w:val="0"/>
                                  <w:marRight w:val="0"/>
                                  <w:marTop w:val="0"/>
                                  <w:marBottom w:val="0"/>
                                  <w:divBdr>
                                    <w:top w:val="none" w:sz="0" w:space="0" w:color="auto"/>
                                    <w:left w:val="none" w:sz="0" w:space="0" w:color="auto"/>
                                    <w:bottom w:val="none" w:sz="0" w:space="0" w:color="auto"/>
                                    <w:right w:val="none" w:sz="0" w:space="0" w:color="auto"/>
                                  </w:divBdr>
                                  <w:divsChild>
                                    <w:div w:id="8241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EBBF-B5EA-48BB-9CD9-D87A097F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2020-04-17T05:08:00Z</dcterms:created>
  <dcterms:modified xsi:type="dcterms:W3CDTF">2020-04-22T05:56:00Z</dcterms:modified>
</cp:coreProperties>
</file>