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20" w:rsidRDefault="00A32320" w:rsidP="00A32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320">
        <w:rPr>
          <w:rFonts w:ascii="Times New Roman" w:hAnsi="Times New Roman" w:cs="Times New Roman"/>
          <w:b/>
          <w:sz w:val="24"/>
          <w:szCs w:val="24"/>
        </w:rPr>
        <w:t>Применение таможенных процедур</w:t>
      </w:r>
    </w:p>
    <w:p w:rsidR="00A32320" w:rsidRPr="00A32320" w:rsidRDefault="00A32320" w:rsidP="00A32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32320">
        <w:rPr>
          <w:rFonts w:ascii="Times New Roman" w:hAnsi="Times New Roman" w:cs="Times New Roman"/>
          <w:sz w:val="20"/>
          <w:szCs w:val="20"/>
        </w:rPr>
        <w:t>Товары, перемещаемые через таможенную границу Евразийского экономического союза, и иные товары в случаях, установленных настоящим Кодексом, для нахождения и использования на таможенной территории Евразийского экономического союза, вывоза с таможенной территории Евразийского экономического союза и (или) нахождения и использования за пределами таможенной территории Евразийского экономического союза подлежат помещению под таможенные процедуры, если иное не установлено настоящим Кодексом.</w:t>
      </w:r>
      <w:proofErr w:type="gramEnd"/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 В зависимости от целей нахождения и использования товаров на таможенной территории Евразийского экономического союза, их вывоза с таможенной территории Евразийского экономического союза и (или) нахождения и использования за пределами таможенной территории Евразийского экономического союза в отношении товаров применяются следующие таможенные процедуры: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1) выпуск для внутреннего потребления;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2) экспорт;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3) таможенный транзит;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4) таможенный склад;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5) переработка на таможенной территории;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6) переработка вне таможенной территории;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7) переработка для внутреннего потребления;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8) свободная таможенная зона;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9) свободный склад;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10) временный ввоз (допуск);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11) временный вывоз;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12) реимпорт;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13) реэкспорт;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14) беспошлинная торговля;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15) уничтожение;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16) отказ в пользу государства;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17) специальная таможенная процедура.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3. Товары, помещенные под таможенную процедуру, могут помещаться под иные таможенные процедуры либо такую же таможенную процедуру: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1) для завершения действия таможенной процедуры, под которую помещены товары;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 2) для приостановления действия таможенной процедуры, под которую помещены товары; 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 3) для перевозки (транспортировки) товаров по таможенной территории Евразийского экономического союза и (или) для перевозки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государств, не являющихся членами Евразийского экономического союза, и (или) морем в соответствии с настоящим Кодексом. 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20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A32320">
        <w:rPr>
          <w:rFonts w:ascii="Times New Roman" w:hAnsi="Times New Roman" w:cs="Times New Roman"/>
          <w:sz w:val="20"/>
          <w:szCs w:val="20"/>
        </w:rPr>
        <w:t>Содержание таможенных процедур и положения, регулирующие порядок применения таможенных процедур, включая условия помещения товаров под таможенные процедуры, условия и порядок использования товаров в соответствии с таможенными процедурами после их помещения под такие таможенные процедуры, порядок завершения, прекращения, приостановления и возобновления действия таможенных процедур, а также обстоятельства возникновения и прекращения обязанности по уплате таможенных пошлин, налогов, специальных, антидемпинговых, компенсационных пошлин, срок</w:t>
      </w:r>
      <w:proofErr w:type="gramEnd"/>
      <w:r w:rsidRPr="00A323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32320">
        <w:rPr>
          <w:rFonts w:ascii="Times New Roman" w:hAnsi="Times New Roman" w:cs="Times New Roman"/>
          <w:sz w:val="20"/>
          <w:szCs w:val="20"/>
        </w:rPr>
        <w:t>и (или) особенности их исчисления и уплаты в отношении товаров, помещаемых (помещенных) под таможенные процедуры, либо товаров, полученных (образовавшихся), изготовленных (полученных) в рамках применения таможенных процедур, определяются соответствующими главами настоящего раздела, а в случаях, предусмотренных настоящим Кодексом, – Комиссией, таможенным и иным законодательством Республики Казахстан.</w:t>
      </w:r>
      <w:proofErr w:type="gramEnd"/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2320" w:rsidRPr="00A32320" w:rsidRDefault="00A32320" w:rsidP="00A32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2320" w:rsidRPr="00A32320" w:rsidRDefault="00A32320" w:rsidP="00A32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2320" w:rsidRPr="00A32320" w:rsidRDefault="00A32320" w:rsidP="00A32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2320" w:rsidRPr="00A32320" w:rsidRDefault="00A32320" w:rsidP="00A3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320" w:rsidRDefault="00A32320" w:rsidP="00A3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320" w:rsidRDefault="00A32320" w:rsidP="00A3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320" w:rsidRDefault="00A32320" w:rsidP="00A3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320" w:rsidRDefault="00A32320" w:rsidP="00A3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20"/>
    <w:rsid w:val="00913E66"/>
    <w:rsid w:val="00A32320"/>
    <w:rsid w:val="00E6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2</cp:revision>
  <dcterms:created xsi:type="dcterms:W3CDTF">2020-08-06T06:31:00Z</dcterms:created>
  <dcterms:modified xsi:type="dcterms:W3CDTF">2020-08-11T03:56:00Z</dcterms:modified>
</cp:coreProperties>
</file>