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46" w:rsidRPr="00D73E46" w:rsidRDefault="00D73E46" w:rsidP="00D73E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E46">
        <w:rPr>
          <w:rFonts w:ascii="Times New Roman" w:hAnsi="Times New Roman" w:cs="Times New Roman"/>
          <w:b/>
        </w:rPr>
        <w:t>Порядок возврата штрафов наложенных уполномоченными органами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73E46">
        <w:rPr>
          <w:rFonts w:ascii="Times New Roman" w:hAnsi="Times New Roman" w:cs="Times New Roman"/>
        </w:rPr>
        <w:t xml:space="preserve"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 и административные штрафы, пени, санкции, взыскания, налагаемые судебными исполнителями, судебными приставами и другими сотрудниками судов, уполномоченными председателем суда или председательствующим в заседании суда, за исключением поступлений от организаций нефтяного сектора и правонарушений в области налогообложения. </w:t>
      </w:r>
      <w:proofErr w:type="gramEnd"/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>- не позднее четырех рабочих дней со дня поступления заявления от плательщика на зачет;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>- не позднее восьми рабочих дней со дня поступления заявления от плательщика на возврат.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>Второй экземпляр заключения вручается плательщику, третий - остается в уполномоченном органе.</w:t>
      </w:r>
    </w:p>
    <w:p w:rsidR="00D73E46" w:rsidRPr="00D73E46" w:rsidRDefault="00D73E46" w:rsidP="00D73E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E46">
        <w:rPr>
          <w:rFonts w:ascii="Times New Roman" w:hAnsi="Times New Roman" w:cs="Times New Roman"/>
        </w:rPr>
        <w:t xml:space="preserve">Уполномоченный орган, ответственный за взимание поступлений в бюджет, при составлении заключения на возврат и/или зачет обеспечивает соблюдение требований законодательства Республики Казахстан, также достоверность данных, содержащихся в заключении, и несет ответственность за их несоблюдение/несоответствие.   </w:t>
      </w:r>
    </w:p>
    <w:sectPr w:rsidR="00D73E46" w:rsidRPr="00D7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46"/>
    <w:rsid w:val="00373C4B"/>
    <w:rsid w:val="00597D57"/>
    <w:rsid w:val="00D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2020-08-06T06:54:00Z</dcterms:created>
  <dcterms:modified xsi:type="dcterms:W3CDTF">2020-08-11T03:57:00Z</dcterms:modified>
</cp:coreProperties>
</file>