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34" w:rsidRPr="00CB7906" w:rsidRDefault="00930D34" w:rsidP="001D49B5">
      <w:pPr>
        <w:jc w:val="both"/>
        <w:rPr>
          <w:sz w:val="28"/>
          <w:szCs w:val="28"/>
        </w:rPr>
      </w:pPr>
      <w:bookmarkStart w:id="0" w:name="_GoBack"/>
      <w:bookmarkEnd w:id="0"/>
    </w:p>
    <w:p w:rsidR="00A95D62" w:rsidRPr="00CB7906" w:rsidRDefault="00DC0783" w:rsidP="00A95D62">
      <w:pPr>
        <w:ind w:firstLine="426"/>
        <w:jc w:val="both"/>
        <w:rPr>
          <w:b/>
          <w:sz w:val="28"/>
          <w:szCs w:val="28"/>
        </w:rPr>
      </w:pPr>
      <w:r w:rsidRPr="00CB7906">
        <w:rPr>
          <w:b/>
          <w:sz w:val="28"/>
          <w:szCs w:val="28"/>
        </w:rPr>
        <w:t>Порядок проведения мониторинга крупных налогоплательщиков</w:t>
      </w:r>
    </w:p>
    <w:p w:rsidR="00A95D62" w:rsidRPr="00CB7906" w:rsidRDefault="00A95D62" w:rsidP="00A95D62">
      <w:pPr>
        <w:ind w:firstLine="426"/>
        <w:jc w:val="both"/>
        <w:rPr>
          <w:sz w:val="28"/>
          <w:szCs w:val="28"/>
        </w:rPr>
      </w:pPr>
      <w:r w:rsidRPr="00CB7906">
        <w:rPr>
          <w:sz w:val="28"/>
          <w:szCs w:val="28"/>
        </w:rPr>
        <w:t> </w:t>
      </w:r>
    </w:p>
    <w:p w:rsidR="00A95D62" w:rsidRPr="00CB7906" w:rsidRDefault="00A95D62" w:rsidP="00A95D62">
      <w:pPr>
        <w:ind w:firstLine="426"/>
        <w:jc w:val="both"/>
        <w:rPr>
          <w:sz w:val="28"/>
          <w:szCs w:val="28"/>
        </w:rPr>
      </w:pPr>
      <w:bookmarkStart w:id="1" w:name="SUB1300000"/>
      <w:bookmarkStart w:id="2" w:name="SUB1300100"/>
      <w:bookmarkEnd w:id="1"/>
      <w:bookmarkEnd w:id="2"/>
      <w:r w:rsidRPr="00CB7906">
        <w:rPr>
          <w:sz w:val="28"/>
          <w:szCs w:val="28"/>
        </w:rPr>
        <w:t>Мониторингу крупных налогоплательщиков подлежат налогоплательщики, являющиеся коммерческими организациями, за исключением государственных предприятий, имеющие наибольший совокупный годовой доход без учета корректировки,  при одновременном соответствии следующим условиям, если иное не установлено настоящим пунктом:</w:t>
      </w:r>
    </w:p>
    <w:p w:rsidR="00A95D62" w:rsidRPr="00CB7906" w:rsidRDefault="00A95D62" w:rsidP="00A95D62">
      <w:pPr>
        <w:ind w:firstLine="426"/>
        <w:jc w:val="both"/>
        <w:rPr>
          <w:sz w:val="28"/>
          <w:szCs w:val="28"/>
        </w:rPr>
      </w:pPr>
      <w:bookmarkStart w:id="3" w:name="SUB1300101"/>
      <w:bookmarkEnd w:id="3"/>
      <w:r w:rsidRPr="00CB7906">
        <w:rPr>
          <w:sz w:val="28"/>
          <w:szCs w:val="28"/>
        </w:rPr>
        <w:t xml:space="preserve">1) сумма стоимостных балансов фиксированных активов на конец налогового периода составляет не менее 325 000-кратного </w:t>
      </w:r>
      <w:hyperlink r:id="rId5" w:history="1">
        <w:r w:rsidRPr="00CB7906">
          <w:rPr>
            <w:rStyle w:val="a3"/>
            <w:sz w:val="28"/>
            <w:szCs w:val="28"/>
          </w:rPr>
          <w:t>месячного расчетного показателя</w:t>
        </w:r>
      </w:hyperlink>
      <w:r w:rsidRPr="00CB7906">
        <w:rPr>
          <w:sz w:val="28"/>
          <w:szCs w:val="28"/>
        </w:rPr>
        <w:t>,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мониторингу крупных налогоплательщиков;</w:t>
      </w:r>
    </w:p>
    <w:p w:rsidR="00A95D62" w:rsidRPr="00CB7906" w:rsidRDefault="00A95D62" w:rsidP="00A95D62">
      <w:pPr>
        <w:ind w:firstLine="426"/>
        <w:jc w:val="both"/>
        <w:rPr>
          <w:sz w:val="28"/>
          <w:szCs w:val="28"/>
        </w:rPr>
      </w:pPr>
      <w:bookmarkStart w:id="4" w:name="SUB1300102"/>
      <w:bookmarkEnd w:id="4"/>
      <w:r w:rsidRPr="00CB7906">
        <w:rPr>
          <w:sz w:val="28"/>
          <w:szCs w:val="28"/>
        </w:rPr>
        <w:t xml:space="preserve">2) численность работников составляет не менее 250 человек. </w:t>
      </w:r>
    </w:p>
    <w:p w:rsidR="00A95D62" w:rsidRPr="00CB7906" w:rsidRDefault="00A95D62" w:rsidP="00A95D62">
      <w:pPr>
        <w:ind w:firstLine="426"/>
        <w:jc w:val="both"/>
        <w:rPr>
          <w:sz w:val="28"/>
          <w:szCs w:val="28"/>
        </w:rPr>
      </w:pPr>
      <w:r w:rsidRPr="00CB7906">
        <w:rPr>
          <w:sz w:val="28"/>
          <w:szCs w:val="28"/>
        </w:rPr>
        <w:t>Для целей настоящей статьи:</w:t>
      </w:r>
    </w:p>
    <w:p w:rsidR="00A95D62" w:rsidRPr="00CB7906" w:rsidRDefault="00A95D62" w:rsidP="00A95D62">
      <w:pPr>
        <w:ind w:firstLine="426"/>
        <w:jc w:val="both"/>
        <w:rPr>
          <w:sz w:val="28"/>
          <w:szCs w:val="28"/>
        </w:rPr>
      </w:pPr>
      <w:r w:rsidRPr="00CB7906">
        <w:rPr>
          <w:sz w:val="28"/>
          <w:szCs w:val="28"/>
        </w:rPr>
        <w:t xml:space="preserve">1) совокупный годовой доход без учета корректировки, предусмотренной </w:t>
      </w:r>
      <w:hyperlink w:anchor="sub2410000" w:history="1">
        <w:r w:rsidRPr="00CB7906">
          <w:rPr>
            <w:rStyle w:val="a3"/>
            <w:sz w:val="28"/>
            <w:szCs w:val="28"/>
          </w:rPr>
          <w:t>статьей 241</w:t>
        </w:r>
      </w:hyperlink>
      <w:r w:rsidRPr="00CB7906">
        <w:rPr>
          <w:sz w:val="28"/>
          <w:szCs w:val="28"/>
        </w:rPr>
        <w:t>Налоговогокодекса,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налогоплательщиков, подлежащих мониторингу крупных налогоплательщиков;</w:t>
      </w:r>
    </w:p>
    <w:p w:rsidR="00A95D62" w:rsidRPr="00CB7906" w:rsidRDefault="00A95D62" w:rsidP="00A95D62">
      <w:pPr>
        <w:ind w:firstLine="426"/>
        <w:jc w:val="both"/>
        <w:rPr>
          <w:sz w:val="28"/>
          <w:szCs w:val="28"/>
        </w:rPr>
      </w:pPr>
      <w:r w:rsidRPr="00CB7906">
        <w:rPr>
          <w:sz w:val="28"/>
          <w:szCs w:val="28"/>
        </w:rPr>
        <w:t>2) сумма стоимостных балансов фиксированных активов определяется на основании налоговой отчетности за год, предшествующий году, в котором подлежит утверждению перечень налогоплательщиков, подлежащих мониторингу крупных налогоплательщиков;</w:t>
      </w:r>
    </w:p>
    <w:p w:rsidR="00A95D62" w:rsidRPr="00CB7906" w:rsidRDefault="00A95D62" w:rsidP="00A95D62">
      <w:pPr>
        <w:ind w:firstLine="426"/>
        <w:jc w:val="both"/>
        <w:rPr>
          <w:sz w:val="28"/>
          <w:szCs w:val="28"/>
        </w:rPr>
      </w:pPr>
      <w:bookmarkStart w:id="5" w:name="SUB1300103"/>
      <w:bookmarkEnd w:id="5"/>
      <w:r w:rsidRPr="00CB7906">
        <w:rPr>
          <w:sz w:val="28"/>
          <w:szCs w:val="28"/>
        </w:rPr>
        <w:t>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налогоплательщиков, подлежащих мониторингу крупных налогоплательщиков.</w:t>
      </w:r>
    </w:p>
    <w:p w:rsidR="00A95D62" w:rsidRPr="00CB7906" w:rsidRDefault="00A95D62" w:rsidP="00A95D62">
      <w:pPr>
        <w:ind w:firstLine="426"/>
        <w:jc w:val="both"/>
        <w:rPr>
          <w:sz w:val="28"/>
          <w:szCs w:val="28"/>
        </w:rPr>
      </w:pPr>
      <w:r w:rsidRPr="00CB7906">
        <w:rPr>
          <w:sz w:val="28"/>
          <w:szCs w:val="28"/>
        </w:rPr>
        <w:t>Вне зависимости от соблюдения условий, установленных настоящим пунктом, подлежат мониторингу крупных налогоплательщиков:</w:t>
      </w:r>
    </w:p>
    <w:p w:rsidR="00A95D62" w:rsidRPr="00CB7906" w:rsidRDefault="00A95D62" w:rsidP="00A95D62">
      <w:pPr>
        <w:ind w:firstLine="397"/>
        <w:jc w:val="both"/>
        <w:rPr>
          <w:sz w:val="28"/>
          <w:szCs w:val="28"/>
        </w:rPr>
      </w:pPr>
      <w:proofErr w:type="gramStart"/>
      <w:r w:rsidRPr="00CB7906">
        <w:rPr>
          <w:rStyle w:val="s0"/>
          <w:sz w:val="28"/>
          <w:szCs w:val="28"/>
        </w:rPr>
        <w:t xml:space="preserve">1) поверенное лицо (оператор) и (или) </w:t>
      </w:r>
      <w:proofErr w:type="spellStart"/>
      <w:r w:rsidRPr="00CB7906">
        <w:rPr>
          <w:rStyle w:val="s0"/>
          <w:sz w:val="28"/>
          <w:szCs w:val="28"/>
        </w:rPr>
        <w:t>недропользователь</w:t>
      </w:r>
      <w:proofErr w:type="spellEnd"/>
      <w:r w:rsidRPr="00CB7906">
        <w:rPr>
          <w:rStyle w:val="s0"/>
          <w:sz w:val="28"/>
          <w:szCs w:val="28"/>
        </w:rPr>
        <w:t xml:space="preserve"> (</w:t>
      </w:r>
      <w:proofErr w:type="spellStart"/>
      <w:r w:rsidRPr="00CB7906">
        <w:rPr>
          <w:rStyle w:val="s0"/>
          <w:sz w:val="28"/>
          <w:szCs w:val="28"/>
        </w:rPr>
        <w:t>недропользователи</w:t>
      </w:r>
      <w:proofErr w:type="spellEnd"/>
      <w:r w:rsidRPr="00CB7906">
        <w:rPr>
          <w:rStyle w:val="s0"/>
          <w:sz w:val="28"/>
          <w:szCs w:val="28"/>
        </w:rPr>
        <w:t xml:space="preserve">), указанные в соглашении (контракте) о разделе продукции, заключенном между Правительством Республики Казахстан или компетентным органом и </w:t>
      </w:r>
      <w:proofErr w:type="spellStart"/>
      <w:r w:rsidRPr="00CB7906">
        <w:rPr>
          <w:rStyle w:val="s0"/>
          <w:sz w:val="28"/>
          <w:szCs w:val="28"/>
        </w:rPr>
        <w:t>недропользователем</w:t>
      </w:r>
      <w:proofErr w:type="spellEnd"/>
      <w:r w:rsidRPr="00CB7906">
        <w:rPr>
          <w:rStyle w:val="s0"/>
          <w:sz w:val="28"/>
          <w:szCs w:val="28"/>
        </w:rPr>
        <w:t xml:space="preserve">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w:t>
      </w:r>
      <w:hyperlink w:anchor="sub2410000" w:history="1">
        <w:r w:rsidRPr="00CB7906">
          <w:rPr>
            <w:rStyle w:val="a3"/>
            <w:sz w:val="28"/>
            <w:szCs w:val="28"/>
          </w:rPr>
          <w:t>статьей 241</w:t>
        </w:r>
      </w:hyperlink>
      <w:r w:rsidRPr="00CB7906">
        <w:rPr>
          <w:rStyle w:val="s0"/>
          <w:sz w:val="28"/>
          <w:szCs w:val="28"/>
        </w:rPr>
        <w:t>Налогового кодекса, и (или) осуществляющие деятельность на нефтегазоконденсатном или морском месторождении в соответствии с</w:t>
      </w:r>
      <w:proofErr w:type="gramEnd"/>
      <w:r w:rsidRPr="00CB7906">
        <w:rPr>
          <w:rStyle w:val="s0"/>
          <w:sz w:val="28"/>
          <w:szCs w:val="28"/>
        </w:rPr>
        <w:t xml:space="preserve"> указанными соглашениями (контрактами);</w:t>
      </w:r>
    </w:p>
    <w:p w:rsidR="00A95D62" w:rsidRPr="00CB7906" w:rsidRDefault="00A95D62" w:rsidP="00A95D62">
      <w:pPr>
        <w:ind w:firstLine="397"/>
        <w:jc w:val="both"/>
        <w:rPr>
          <w:sz w:val="28"/>
          <w:szCs w:val="28"/>
        </w:rPr>
      </w:pPr>
      <w:r w:rsidRPr="00CB7906">
        <w:rPr>
          <w:rStyle w:val="s0"/>
          <w:sz w:val="28"/>
          <w:szCs w:val="28"/>
        </w:rPr>
        <w:t xml:space="preserve">1-1) налогоплательщики, ежегодная сумма уплаченных налогов которых составляет не менее 2 000 000-кратного размера </w:t>
      </w:r>
      <w:hyperlink r:id="rId6" w:history="1">
        <w:r w:rsidRPr="00CB7906">
          <w:rPr>
            <w:rStyle w:val="a3"/>
            <w:sz w:val="28"/>
            <w:szCs w:val="28"/>
          </w:rPr>
          <w:t xml:space="preserve">месячного расчетного </w:t>
        </w:r>
        <w:r w:rsidRPr="00CB7906">
          <w:rPr>
            <w:rStyle w:val="a3"/>
            <w:sz w:val="28"/>
            <w:szCs w:val="28"/>
          </w:rPr>
          <w:lastRenderedPageBreak/>
          <w:t>показателя</w:t>
        </w:r>
      </w:hyperlink>
      <w:r w:rsidRPr="00CB7906">
        <w:rPr>
          <w:rStyle w:val="s0"/>
          <w:sz w:val="28"/>
          <w:szCs w:val="28"/>
        </w:rPr>
        <w:t>,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мониторингу крупных налогоплательщиков.</w:t>
      </w:r>
    </w:p>
    <w:p w:rsidR="00A95D62" w:rsidRPr="00CB7906" w:rsidRDefault="00A95D62" w:rsidP="00A95D62">
      <w:pPr>
        <w:ind w:firstLine="397"/>
        <w:jc w:val="both"/>
        <w:rPr>
          <w:sz w:val="28"/>
          <w:szCs w:val="28"/>
        </w:rPr>
      </w:pPr>
      <w:r w:rsidRPr="00CB7906">
        <w:rPr>
          <w:rStyle w:val="s0"/>
          <w:sz w:val="28"/>
          <w:szCs w:val="28"/>
        </w:rPr>
        <w:t>При этом ежегодная сумма уплаченных налогов определяется за каждый из трех календарных лет, предшествующих году, в котором подлежит утверждению перечень налогоплательщиков, подлежащих мониторингу крупных налогоплательщиков;</w:t>
      </w:r>
    </w:p>
    <w:p w:rsidR="00A95D62" w:rsidRPr="00CB7906" w:rsidRDefault="00A95D62" w:rsidP="00A95D62">
      <w:pPr>
        <w:ind w:firstLine="426"/>
        <w:jc w:val="both"/>
        <w:rPr>
          <w:sz w:val="28"/>
          <w:szCs w:val="28"/>
        </w:rPr>
      </w:pPr>
      <w:r w:rsidRPr="00CB7906">
        <w:rPr>
          <w:sz w:val="28"/>
          <w:szCs w:val="28"/>
        </w:rPr>
        <w:t xml:space="preserve">2) </w:t>
      </w:r>
      <w:proofErr w:type="spellStart"/>
      <w:r w:rsidRPr="00CB7906">
        <w:rPr>
          <w:sz w:val="28"/>
          <w:szCs w:val="28"/>
        </w:rPr>
        <w:t>недропользователь</w:t>
      </w:r>
      <w:proofErr w:type="spellEnd"/>
      <w:r w:rsidRPr="00CB7906">
        <w:rPr>
          <w:sz w:val="28"/>
          <w:szCs w:val="28"/>
        </w:rPr>
        <w:t xml:space="preserve">, </w:t>
      </w:r>
      <w:proofErr w:type="gramStart"/>
      <w:r w:rsidRPr="00CB7906">
        <w:rPr>
          <w:sz w:val="28"/>
          <w:szCs w:val="28"/>
        </w:rPr>
        <w:t>который</w:t>
      </w:r>
      <w:proofErr w:type="gramEnd"/>
      <w:r w:rsidRPr="00CB7906">
        <w:rPr>
          <w:sz w:val="28"/>
          <w:szCs w:val="28"/>
        </w:rPr>
        <w:t xml:space="preserve"> на 1 октября года, предшествующего году введения в действие перечня налогоплательщиков, подлежащих мониторингу крупных налогоплательщиков, соответствует следующим условиям:</w:t>
      </w:r>
    </w:p>
    <w:p w:rsidR="00A95D62" w:rsidRPr="00CB7906" w:rsidRDefault="00A95D62" w:rsidP="00A95D62">
      <w:pPr>
        <w:ind w:firstLine="426"/>
        <w:jc w:val="both"/>
        <w:rPr>
          <w:sz w:val="28"/>
          <w:szCs w:val="28"/>
        </w:rPr>
      </w:pPr>
      <w:r w:rsidRPr="00CB7906">
        <w:rPr>
          <w:sz w:val="28"/>
          <w:szCs w:val="28"/>
        </w:rPr>
        <w:t xml:space="preserve">с </w:t>
      </w:r>
      <w:proofErr w:type="spellStart"/>
      <w:r w:rsidRPr="00CB7906">
        <w:rPr>
          <w:sz w:val="28"/>
          <w:szCs w:val="28"/>
        </w:rPr>
        <w:t>недропользователем</w:t>
      </w:r>
      <w:proofErr w:type="spellEnd"/>
      <w:r w:rsidRPr="00CB7906">
        <w:rPr>
          <w:sz w:val="28"/>
          <w:szCs w:val="28"/>
        </w:rPr>
        <w:t xml:space="preserve"> заключен контракт на разведку, добычу, совмещенную разведку и добычу полезных ископаемых, за исключением контрактов на разведку, добычу общераспространенных полезных ископаемых и подземных вод;</w:t>
      </w:r>
    </w:p>
    <w:p w:rsidR="00A95D62" w:rsidRPr="00CB7906" w:rsidRDefault="00A95D62" w:rsidP="00A95D62">
      <w:pPr>
        <w:ind w:firstLine="426"/>
        <w:jc w:val="both"/>
        <w:rPr>
          <w:sz w:val="28"/>
          <w:szCs w:val="28"/>
        </w:rPr>
      </w:pPr>
      <w:proofErr w:type="spellStart"/>
      <w:r w:rsidRPr="00CB7906">
        <w:rPr>
          <w:sz w:val="28"/>
          <w:szCs w:val="28"/>
        </w:rPr>
        <w:t>недропользовательотнесен</w:t>
      </w:r>
      <w:proofErr w:type="spellEnd"/>
      <w:r w:rsidRPr="00CB7906">
        <w:rPr>
          <w:sz w:val="28"/>
          <w:szCs w:val="28"/>
        </w:rPr>
        <w:t xml:space="preserve"> к категории градообразующих юридических лиц в соответствии с перечнем, утверждаемым уполномоченным органом по региональному развитию.</w:t>
      </w:r>
    </w:p>
    <w:p w:rsidR="00A95D62" w:rsidRPr="00CB7906" w:rsidRDefault="00A95D62" w:rsidP="00A95D62">
      <w:pPr>
        <w:ind w:firstLine="426"/>
        <w:jc w:val="both"/>
        <w:rPr>
          <w:sz w:val="28"/>
          <w:szCs w:val="28"/>
        </w:rPr>
      </w:pPr>
      <w:bookmarkStart w:id="6" w:name="SUB1300200"/>
      <w:bookmarkEnd w:id="6"/>
      <w:r w:rsidRPr="00CB7906">
        <w:rPr>
          <w:sz w:val="28"/>
          <w:szCs w:val="28"/>
        </w:rPr>
        <w:t>2. В перечень налогоплательщиков, подлежащих мониторингу крупных налогоплательщиков, включаются:</w:t>
      </w:r>
    </w:p>
    <w:p w:rsidR="00A95D62" w:rsidRPr="00CB7906" w:rsidRDefault="00A95D62" w:rsidP="00A95D62">
      <w:pPr>
        <w:ind w:firstLine="426"/>
        <w:jc w:val="both"/>
        <w:rPr>
          <w:sz w:val="28"/>
          <w:szCs w:val="28"/>
        </w:rPr>
      </w:pPr>
      <w:bookmarkStart w:id="7" w:name="SUB1300201"/>
      <w:bookmarkEnd w:id="7"/>
      <w:r w:rsidRPr="00CB7906">
        <w:rPr>
          <w:sz w:val="28"/>
          <w:szCs w:val="28"/>
        </w:rPr>
        <w:t xml:space="preserve">1) первые триста крупных налогоплательщиков, имеющих наибольший совокупный годовой доход без учета корректировки, предусмотренной </w:t>
      </w:r>
      <w:hyperlink w:anchor="sub2410000" w:history="1">
        <w:r w:rsidRPr="00CB7906">
          <w:rPr>
            <w:rStyle w:val="a3"/>
            <w:sz w:val="28"/>
            <w:szCs w:val="28"/>
          </w:rPr>
          <w:t>статьей 241</w:t>
        </w:r>
      </w:hyperlink>
      <w:r w:rsidRPr="00CB7906">
        <w:rPr>
          <w:sz w:val="28"/>
          <w:szCs w:val="28"/>
        </w:rPr>
        <w:t>Налогового кодекса, из крупных налогоплательщиков, соответствующих условиям, установленным частью первой пункта 1 настоящей статьи;</w:t>
      </w:r>
    </w:p>
    <w:p w:rsidR="00A95D62" w:rsidRPr="00CB7906" w:rsidRDefault="00A95D62" w:rsidP="00A95D62">
      <w:pPr>
        <w:ind w:firstLine="426"/>
        <w:jc w:val="both"/>
        <w:rPr>
          <w:sz w:val="28"/>
          <w:szCs w:val="28"/>
        </w:rPr>
      </w:pPr>
      <w:bookmarkStart w:id="8" w:name="SUB1300202"/>
      <w:bookmarkEnd w:id="8"/>
      <w:r w:rsidRPr="00CB7906">
        <w:rPr>
          <w:sz w:val="28"/>
          <w:szCs w:val="28"/>
        </w:rPr>
        <w:t>2) налогоплательщики, указанные в части третьей пункта 1 настоящей статьи.</w:t>
      </w:r>
    </w:p>
    <w:p w:rsidR="00A95D62" w:rsidRPr="00CB7906" w:rsidRDefault="00A95D62" w:rsidP="00A95D62">
      <w:pPr>
        <w:ind w:firstLine="426"/>
        <w:jc w:val="both"/>
        <w:rPr>
          <w:sz w:val="28"/>
          <w:szCs w:val="28"/>
        </w:rPr>
      </w:pPr>
      <w:bookmarkStart w:id="9" w:name="SUB1300300"/>
      <w:bookmarkEnd w:id="9"/>
      <w:r w:rsidRPr="00CB7906">
        <w:rPr>
          <w:sz w:val="28"/>
          <w:szCs w:val="28"/>
        </w:rPr>
        <w:t xml:space="preserve">3. </w:t>
      </w:r>
      <w:hyperlink r:id="rId7" w:history="1">
        <w:proofErr w:type="gramStart"/>
        <w:r w:rsidRPr="00CB7906">
          <w:rPr>
            <w:rStyle w:val="a3"/>
            <w:sz w:val="28"/>
            <w:szCs w:val="28"/>
          </w:rPr>
          <w:t>Перечень</w:t>
        </w:r>
      </w:hyperlink>
      <w:r w:rsidRPr="00CB7906">
        <w:rPr>
          <w:sz w:val="28"/>
          <w:szCs w:val="28"/>
        </w:rPr>
        <w:t xml:space="preserve"> налогоплательщиков, подлежащих мониторингу крупных налогоплательщиков,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утверждается уполномоченным органом не позднее 31 декабря года, предшествующего году введения в действие указанного перечня.</w:t>
      </w:r>
      <w:proofErr w:type="gramEnd"/>
    </w:p>
    <w:p w:rsidR="00A95D62" w:rsidRPr="00CB7906" w:rsidRDefault="00A95D62" w:rsidP="00A95D62">
      <w:pPr>
        <w:ind w:firstLine="426"/>
        <w:jc w:val="both"/>
        <w:rPr>
          <w:sz w:val="28"/>
          <w:szCs w:val="28"/>
        </w:rPr>
      </w:pPr>
      <w:r w:rsidRPr="00CB7906">
        <w:rPr>
          <w:sz w:val="28"/>
          <w:szCs w:val="28"/>
        </w:rPr>
        <w:t>В случае</w:t>
      </w:r>
      <w:proofErr w:type="gramStart"/>
      <w:r w:rsidRPr="00CB7906">
        <w:rPr>
          <w:sz w:val="28"/>
          <w:szCs w:val="28"/>
        </w:rPr>
        <w:t>,</w:t>
      </w:r>
      <w:proofErr w:type="gramEnd"/>
      <w:r w:rsidRPr="00CB7906">
        <w:rPr>
          <w:sz w:val="28"/>
          <w:szCs w:val="28"/>
        </w:rPr>
        <w:t xml:space="preserve"> если по состоянию на 1 октября года, предшествующего году введения в действие перечня налогоплательщиков, подлежащих мониторингу крупных налогоплательщиков, налогоплательщик, соответствующий 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rsidR="00A95D62" w:rsidRPr="00CB7906" w:rsidRDefault="00A95D62" w:rsidP="00A95D62">
      <w:pPr>
        <w:ind w:firstLine="397"/>
        <w:jc w:val="both"/>
        <w:rPr>
          <w:sz w:val="28"/>
          <w:szCs w:val="28"/>
        </w:rPr>
      </w:pPr>
      <w:r w:rsidRPr="00CB7906">
        <w:rPr>
          <w:rStyle w:val="s0"/>
          <w:sz w:val="28"/>
          <w:szCs w:val="28"/>
        </w:rPr>
        <w:t xml:space="preserve">Утвержденный перечень налогоплательщиков, подлежащих мониторингу крупных налогоплательщиков, вводится в действие не ранее 1 января года, следующего за годом его утверждения, и действует в течение двух лет со дня введения его в действие. Данный перечень не подлежит пересмотру в течение периода его действия, за исключением случаев изменения условий, при </w:t>
      </w:r>
      <w:r w:rsidRPr="00CB7906">
        <w:rPr>
          <w:rStyle w:val="s0"/>
          <w:sz w:val="28"/>
          <w:szCs w:val="28"/>
        </w:rPr>
        <w:lastRenderedPageBreak/>
        <w:t>которых налогоплательщики подлежат мониторингу крупных налогоплательщиков в соответствии с пунктом 1 настоящей статьи.</w:t>
      </w:r>
    </w:p>
    <w:p w:rsidR="00A95D62" w:rsidRPr="00CB7906" w:rsidRDefault="00A95D62" w:rsidP="00A95D62">
      <w:pPr>
        <w:ind w:firstLine="426"/>
        <w:jc w:val="both"/>
        <w:rPr>
          <w:sz w:val="28"/>
          <w:szCs w:val="28"/>
        </w:rPr>
      </w:pPr>
      <w:bookmarkStart w:id="10" w:name="SUB1300400"/>
      <w:bookmarkEnd w:id="10"/>
      <w:r w:rsidRPr="00CB7906">
        <w:rPr>
          <w:sz w:val="28"/>
          <w:szCs w:val="28"/>
        </w:rPr>
        <w:t>4. В случае реорганизации налогоплательщика, подлежащего мониторингу крупных налогоплательщиков, его правопреемник (правопреемники) подлежит (подлежат) мониторингу крупных налогоплательщиков до введения в действие последующего перечня налогоплательщиков, подлежащих мониторингу крупных налогоплательщиков.</w:t>
      </w:r>
    </w:p>
    <w:p w:rsidR="00A95D62" w:rsidRPr="00CB7906" w:rsidRDefault="00A95D62" w:rsidP="00A95D62">
      <w:pPr>
        <w:ind w:firstLine="426"/>
        <w:jc w:val="both"/>
        <w:rPr>
          <w:sz w:val="28"/>
          <w:szCs w:val="28"/>
        </w:rPr>
      </w:pPr>
      <w:bookmarkStart w:id="11" w:name="SUB1300500"/>
      <w:bookmarkEnd w:id="11"/>
      <w:r w:rsidRPr="00CB7906">
        <w:rPr>
          <w:sz w:val="28"/>
          <w:szCs w:val="28"/>
        </w:rPr>
        <w:t>5. В случае ликвидации налогоплательщика, подлежащего мониторингу крупных налогоплательщиков, а также со дня вступления в законную силу решения суда о признании его банкротом данный налогоплательщик признается исключенным из перечня налогоплательщиков, подлежащих мониторингу крупных налогоплательщиков.</w:t>
      </w:r>
    </w:p>
    <w:p w:rsidR="00E0473C" w:rsidRPr="00CB7906" w:rsidRDefault="001D49B5">
      <w:pPr>
        <w:rPr>
          <w:sz w:val="28"/>
          <w:szCs w:val="28"/>
        </w:rPr>
      </w:pPr>
    </w:p>
    <w:sectPr w:rsidR="00E0473C" w:rsidRPr="00CB7906" w:rsidSect="00CA2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62"/>
    <w:rsid w:val="00035DFA"/>
    <w:rsid w:val="001D49B5"/>
    <w:rsid w:val="002D31AF"/>
    <w:rsid w:val="005241F2"/>
    <w:rsid w:val="005B12B7"/>
    <w:rsid w:val="005E4605"/>
    <w:rsid w:val="00930D34"/>
    <w:rsid w:val="00A95D62"/>
    <w:rsid w:val="00C52326"/>
    <w:rsid w:val="00CA2178"/>
    <w:rsid w:val="00CB7906"/>
    <w:rsid w:val="00DC0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6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A95D62"/>
    <w:rPr>
      <w:color w:val="333399"/>
      <w:u w:val="single"/>
    </w:rPr>
  </w:style>
  <w:style w:type="character" w:customStyle="1" w:styleId="s0">
    <w:name w:val="s0"/>
    <w:rsid w:val="00A95D62"/>
    <w:rPr>
      <w:rFonts w:ascii="Times New Roman" w:hAnsi="Times New Roman" w:cs="Times New Roman" w:hint="default"/>
      <w:b w:val="0"/>
      <w:bCs w:val="0"/>
      <w:i w:val="0"/>
      <w:iCs w:val="0"/>
      <w:color w:val="000000"/>
    </w:rPr>
  </w:style>
  <w:style w:type="character" w:customStyle="1" w:styleId="s1">
    <w:name w:val="s1"/>
    <w:rsid w:val="00A95D62"/>
    <w:rPr>
      <w:rFonts w:ascii="Times New Roman" w:hAnsi="Times New Roman" w:cs="Times New Roman" w:hint="default"/>
      <w:b/>
      <w:bCs/>
      <w:color w:val="000000"/>
    </w:rPr>
  </w:style>
  <w:style w:type="character" w:customStyle="1" w:styleId="s2">
    <w:name w:val="s2"/>
    <w:rsid w:val="00A95D62"/>
    <w:rPr>
      <w:rFonts w:ascii="Times New Roman" w:hAnsi="Times New Roman" w:cs="Times New Roman" w:hint="default"/>
      <w:color w:val="333399"/>
      <w:u w:val="single"/>
    </w:rPr>
  </w:style>
  <w:style w:type="character" w:customStyle="1" w:styleId="s3">
    <w:name w:val="s3"/>
    <w:rsid w:val="00A95D62"/>
    <w:rPr>
      <w:rFonts w:ascii="Times New Roman" w:hAnsi="Times New Roman" w:cs="Times New Roman" w:hint="default"/>
      <w:b w:val="0"/>
      <w:bCs w:val="0"/>
      <w:i/>
      <w:iCs/>
      <w:color w:val="FF0000"/>
    </w:rPr>
  </w:style>
  <w:style w:type="character" w:customStyle="1" w:styleId="s9">
    <w:name w:val="s9"/>
    <w:rsid w:val="00A95D62"/>
    <w:rPr>
      <w:rFonts w:ascii="Times New Roman" w:hAnsi="Times New Roman" w:cs="Times New Roman" w:hint="default"/>
      <w:b w:val="0"/>
      <w:bCs w:val="0"/>
      <w:i/>
      <w:iCs/>
      <w:color w:val="333399"/>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basedOn w:val="a0"/>
    <w:link w:val="a5"/>
    <w:uiPriority w:val="99"/>
    <w:semiHidden/>
    <w:locked/>
    <w:rsid w:val="00DC0783"/>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semiHidden/>
    <w:unhideWhenUsed/>
    <w:rsid w:val="00DC0783"/>
    <w:pPr>
      <w:spacing w:before="100" w:beforeAutospacing="1" w:after="100" w:afterAutospacing="1"/>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6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A95D62"/>
    <w:rPr>
      <w:color w:val="333399"/>
      <w:u w:val="single"/>
    </w:rPr>
  </w:style>
  <w:style w:type="character" w:customStyle="1" w:styleId="s0">
    <w:name w:val="s0"/>
    <w:rsid w:val="00A95D62"/>
    <w:rPr>
      <w:rFonts w:ascii="Times New Roman" w:hAnsi="Times New Roman" w:cs="Times New Roman" w:hint="default"/>
      <w:b w:val="0"/>
      <w:bCs w:val="0"/>
      <w:i w:val="0"/>
      <w:iCs w:val="0"/>
      <w:color w:val="000000"/>
    </w:rPr>
  </w:style>
  <w:style w:type="character" w:customStyle="1" w:styleId="s1">
    <w:name w:val="s1"/>
    <w:rsid w:val="00A95D62"/>
    <w:rPr>
      <w:rFonts w:ascii="Times New Roman" w:hAnsi="Times New Roman" w:cs="Times New Roman" w:hint="default"/>
      <w:b/>
      <w:bCs/>
      <w:color w:val="000000"/>
    </w:rPr>
  </w:style>
  <w:style w:type="character" w:customStyle="1" w:styleId="s2">
    <w:name w:val="s2"/>
    <w:rsid w:val="00A95D62"/>
    <w:rPr>
      <w:rFonts w:ascii="Times New Roman" w:hAnsi="Times New Roman" w:cs="Times New Roman" w:hint="default"/>
      <w:color w:val="333399"/>
      <w:u w:val="single"/>
    </w:rPr>
  </w:style>
  <w:style w:type="character" w:customStyle="1" w:styleId="s3">
    <w:name w:val="s3"/>
    <w:rsid w:val="00A95D62"/>
    <w:rPr>
      <w:rFonts w:ascii="Times New Roman" w:hAnsi="Times New Roman" w:cs="Times New Roman" w:hint="default"/>
      <w:b w:val="0"/>
      <w:bCs w:val="0"/>
      <w:i/>
      <w:iCs/>
      <w:color w:val="FF0000"/>
    </w:rPr>
  </w:style>
  <w:style w:type="character" w:customStyle="1" w:styleId="s9">
    <w:name w:val="s9"/>
    <w:rsid w:val="00A95D62"/>
    <w:rPr>
      <w:rFonts w:ascii="Times New Roman" w:hAnsi="Times New Roman" w:cs="Times New Roman" w:hint="default"/>
      <w:b w:val="0"/>
      <w:bCs w:val="0"/>
      <w:i/>
      <w:iCs/>
      <w:color w:val="333399"/>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basedOn w:val="a0"/>
    <w:link w:val="a5"/>
    <w:uiPriority w:val="99"/>
    <w:semiHidden/>
    <w:locked/>
    <w:rsid w:val="00DC0783"/>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semiHidden/>
    <w:unhideWhenUsed/>
    <w:rsid w:val="00DC0783"/>
    <w:pPr>
      <w:spacing w:before="100" w:beforeAutospacing="1" w:after="100" w:afterAutospacing="1"/>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65990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link_id=1000000358" TargetMode="External"/><Relationship Id="rId5" Type="http://schemas.openxmlformats.org/officeDocument/2006/relationships/hyperlink" Target="http://online.zakon.kz/Document/?link_id=10000003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EKarsybekov</dc:creator>
  <cp:lastModifiedBy>Альмира Сериккызы</cp:lastModifiedBy>
  <cp:revision>3</cp:revision>
  <dcterms:created xsi:type="dcterms:W3CDTF">2020-08-04T10:18:00Z</dcterms:created>
  <dcterms:modified xsi:type="dcterms:W3CDTF">2020-08-11T03:56:00Z</dcterms:modified>
</cp:coreProperties>
</file>