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C9" w:rsidRPr="009276A5" w:rsidRDefault="00FC1EC9" w:rsidP="009276A5">
      <w:pPr>
        <w:jc w:val="center"/>
        <w:rPr>
          <w:b/>
        </w:rPr>
      </w:pPr>
      <w:bookmarkStart w:id="0" w:name="_GoBack"/>
      <w:bookmarkEnd w:id="0"/>
      <w:r w:rsidRPr="009276A5">
        <w:rPr>
          <w:b/>
          <w:lang w:val="kk-KZ"/>
        </w:rPr>
        <w:t>О классификации последующих раходов в налоговом учете</w:t>
      </w:r>
      <w:r w:rsidRPr="009276A5">
        <w:rPr>
          <w:b/>
        </w:rPr>
        <w:t>.</w:t>
      </w:r>
    </w:p>
    <w:p w:rsidR="00FC1EC9" w:rsidRDefault="00FC1EC9"/>
    <w:p w:rsidR="008C1500" w:rsidRDefault="00FC1EC9" w:rsidP="00092A4B">
      <w:pPr>
        <w:ind w:firstLine="720"/>
        <w:jc w:val="both"/>
      </w:pPr>
      <w:r>
        <w:t xml:space="preserve">Вопрос правильности отнесения в налоговом учете  расходов на ремонт на прямые вычеты или </w:t>
      </w:r>
      <w:r w:rsidR="008C1500">
        <w:t xml:space="preserve">на вычеты </w:t>
      </w:r>
      <w:r>
        <w:t>через амортизационные отчисления, зачастую является предметом спора при рассмотрении жалоб налогоплательщиков на результаты налоговых проверок.</w:t>
      </w:r>
    </w:p>
    <w:p w:rsidR="00092A4B" w:rsidRDefault="00FC1EC9" w:rsidP="00092A4B">
      <w:pPr>
        <w:ind w:firstLine="720"/>
        <w:jc w:val="both"/>
        <w:rPr>
          <w:rStyle w:val="s0"/>
          <w:sz w:val="28"/>
          <w:szCs w:val="28"/>
        </w:rPr>
      </w:pPr>
      <w:r>
        <w:t xml:space="preserve">Согласно нормам  Налогового кодекса </w:t>
      </w:r>
      <w:r w:rsidR="008C1500" w:rsidRPr="008C1500">
        <w:rPr>
          <w:szCs w:val="28"/>
        </w:rPr>
        <w:t>п</w:t>
      </w:r>
      <w:r w:rsidR="008C1500" w:rsidRPr="008C1500">
        <w:rPr>
          <w:rStyle w:val="s0"/>
          <w:sz w:val="28"/>
          <w:szCs w:val="28"/>
        </w:rPr>
        <w:t>оследующими расходами признаются фактические расходы, понесенные при эксплуатации, ремонте, реконструкции, модернизации, содержании и ликвидации</w:t>
      </w:r>
      <w:r w:rsidR="008C1500">
        <w:rPr>
          <w:rStyle w:val="s0"/>
          <w:sz w:val="28"/>
          <w:szCs w:val="28"/>
        </w:rPr>
        <w:t xml:space="preserve"> фиксированных активов.</w:t>
      </w:r>
    </w:p>
    <w:p w:rsidR="00B17884" w:rsidRDefault="00B17884" w:rsidP="00092A4B">
      <w:pPr>
        <w:ind w:firstLine="720"/>
        <w:jc w:val="both"/>
        <w:rPr>
          <w:rStyle w:val="s0"/>
          <w:sz w:val="28"/>
          <w:szCs w:val="28"/>
        </w:rPr>
      </w:pPr>
      <w:r>
        <w:rPr>
          <w:szCs w:val="28"/>
        </w:rPr>
        <w:t>При этом, следует отметить, что в</w:t>
      </w:r>
      <w:r w:rsidR="0089493A">
        <w:rPr>
          <w:szCs w:val="28"/>
        </w:rPr>
        <w:t xml:space="preserve"> настоящее время в </w:t>
      </w:r>
      <w:r>
        <w:rPr>
          <w:szCs w:val="28"/>
        </w:rPr>
        <w:t>Налоговом кодексе не используются термины «капитальный ремонт» и «текущий ремонт».</w:t>
      </w:r>
    </w:p>
    <w:p w:rsidR="00092A4B" w:rsidRPr="00092A4B" w:rsidRDefault="00B17884" w:rsidP="00092A4B">
      <w:pPr>
        <w:ind w:firstLine="720"/>
        <w:jc w:val="both"/>
        <w:rPr>
          <w:rStyle w:val="s0"/>
          <w:sz w:val="28"/>
          <w:szCs w:val="28"/>
        </w:rPr>
      </w:pPr>
      <w:bookmarkStart w:id="1" w:name="sub1001227604"/>
      <w:r>
        <w:rPr>
          <w:rStyle w:val="s0"/>
          <w:sz w:val="28"/>
          <w:szCs w:val="28"/>
        </w:rPr>
        <w:t>П</w:t>
      </w:r>
      <w:r w:rsidR="00092A4B">
        <w:rPr>
          <w:rStyle w:val="s0"/>
          <w:sz w:val="28"/>
          <w:szCs w:val="28"/>
        </w:rPr>
        <w:t xml:space="preserve">оследующие расходы, </w:t>
      </w:r>
      <w:bookmarkStart w:id="2" w:name="sub1002034119"/>
      <w:r>
        <w:rPr>
          <w:rStyle w:val="s0"/>
          <w:sz w:val="28"/>
          <w:szCs w:val="28"/>
        </w:rPr>
        <w:t>согласно положениям статьи 122</w:t>
      </w:r>
      <w:r w:rsidRPr="00092A4B">
        <w:rPr>
          <w:rStyle w:val="s0"/>
          <w:sz w:val="28"/>
          <w:szCs w:val="28"/>
        </w:rPr>
        <w:t xml:space="preserve"> Налогового кодекса</w:t>
      </w:r>
      <w:bookmarkStart w:id="3" w:name="SUB1220200"/>
      <w:bookmarkEnd w:id="2"/>
      <w:bookmarkEnd w:id="3"/>
      <w:r w:rsidRPr="00092A4B">
        <w:rPr>
          <w:szCs w:val="28"/>
        </w:rPr>
        <w:t xml:space="preserve"> </w:t>
      </w:r>
      <w:r w:rsidR="00092A4B" w:rsidRPr="00092A4B">
        <w:rPr>
          <w:rStyle w:val="s0"/>
          <w:sz w:val="28"/>
          <w:szCs w:val="28"/>
        </w:rPr>
        <w:t>подлежат отнесению на вычеты в том налоговом периоде, в кот</w:t>
      </w:r>
      <w:r w:rsidR="00092A4B">
        <w:rPr>
          <w:rStyle w:val="s0"/>
          <w:sz w:val="28"/>
          <w:szCs w:val="28"/>
        </w:rPr>
        <w:t>ором они фактически произведены,</w:t>
      </w:r>
      <w:r w:rsidR="00092A4B" w:rsidRPr="00092A4B">
        <w:rPr>
          <w:rStyle w:val="s0"/>
          <w:sz w:val="28"/>
          <w:szCs w:val="28"/>
        </w:rPr>
        <w:t xml:space="preserve"> за исключением указанных в </w:t>
      </w:r>
      <w:bookmarkStart w:id="4" w:name="sub1000926471"/>
      <w:r w:rsidR="00092A4B" w:rsidRPr="00092A4B">
        <w:rPr>
          <w:rStyle w:val="s0"/>
          <w:color w:val="auto"/>
          <w:sz w:val="28"/>
          <w:szCs w:val="28"/>
        </w:rPr>
        <w:fldChar w:fldCharType="begin"/>
      </w:r>
      <w:r w:rsidR="00092A4B" w:rsidRPr="00092A4B">
        <w:rPr>
          <w:rStyle w:val="s0"/>
          <w:color w:val="auto"/>
          <w:sz w:val="28"/>
          <w:szCs w:val="28"/>
        </w:rPr>
        <w:instrText xml:space="preserve"> HYPERLINK "jl:30366217.1220300%20" </w:instrText>
      </w:r>
      <w:r w:rsidR="00092A4B" w:rsidRPr="00092A4B">
        <w:rPr>
          <w:rStyle w:val="s0"/>
          <w:color w:val="auto"/>
          <w:sz w:val="28"/>
          <w:szCs w:val="28"/>
        </w:rPr>
        <w:fldChar w:fldCharType="separate"/>
      </w:r>
      <w:r w:rsidR="00092A4B" w:rsidRPr="00092A4B">
        <w:rPr>
          <w:rStyle w:val="a3"/>
          <w:b w:val="0"/>
          <w:bCs w:val="0"/>
          <w:color w:val="auto"/>
          <w:sz w:val="28"/>
          <w:szCs w:val="28"/>
          <w:u w:val="none"/>
        </w:rPr>
        <w:t>пунктах 3 и 6</w:t>
      </w:r>
      <w:r w:rsidR="00092A4B" w:rsidRPr="00092A4B">
        <w:rPr>
          <w:rStyle w:val="s0"/>
          <w:color w:val="auto"/>
          <w:sz w:val="28"/>
          <w:szCs w:val="28"/>
        </w:rPr>
        <w:fldChar w:fldCharType="end"/>
      </w:r>
      <w:bookmarkEnd w:id="4"/>
      <w:r w:rsidR="00092A4B" w:rsidRPr="00092A4B">
        <w:rPr>
          <w:rStyle w:val="s0"/>
          <w:sz w:val="28"/>
          <w:szCs w:val="28"/>
        </w:rPr>
        <w:t xml:space="preserve"> настоящей статьи</w:t>
      </w:r>
      <w:r w:rsidR="00092A4B">
        <w:rPr>
          <w:rStyle w:val="s0"/>
          <w:sz w:val="28"/>
          <w:szCs w:val="28"/>
        </w:rPr>
        <w:t>.</w:t>
      </w:r>
    </w:p>
    <w:p w:rsidR="00092A4B" w:rsidRPr="00092A4B" w:rsidRDefault="00B17884" w:rsidP="00092A4B">
      <w:pPr>
        <w:ind w:firstLine="720"/>
        <w:jc w:val="both"/>
        <w:rPr>
          <w:szCs w:val="28"/>
        </w:rPr>
      </w:pPr>
      <w:r>
        <w:rPr>
          <w:rStyle w:val="s0"/>
          <w:sz w:val="28"/>
          <w:szCs w:val="28"/>
        </w:rPr>
        <w:t>П</w:t>
      </w:r>
      <w:r w:rsidR="00092A4B">
        <w:rPr>
          <w:rStyle w:val="s0"/>
          <w:sz w:val="28"/>
          <w:szCs w:val="28"/>
        </w:rPr>
        <w:t>унктом 3</w:t>
      </w:r>
      <w:r w:rsidR="00092A4B" w:rsidRPr="00092A4B">
        <w:rPr>
          <w:rStyle w:val="s0"/>
          <w:sz w:val="28"/>
          <w:szCs w:val="28"/>
        </w:rPr>
        <w:t xml:space="preserve"> статьи 122 Налогового кодекса предусмотрено, что </w:t>
      </w:r>
      <w:bookmarkStart w:id="5" w:name="SUB1220300"/>
      <w:bookmarkEnd w:id="1"/>
      <w:bookmarkEnd w:id="5"/>
      <w:r w:rsidR="00092A4B" w:rsidRPr="00092A4B">
        <w:rPr>
          <w:rStyle w:val="s0"/>
          <w:sz w:val="28"/>
          <w:szCs w:val="28"/>
        </w:rPr>
        <w:t>сумма последующих расходов, подлежащая отнесению в бухгалтерском учете на увеличение балансовой стоимости активов</w:t>
      </w:r>
      <w:bookmarkStart w:id="6" w:name="SUB1220301"/>
      <w:bookmarkEnd w:id="6"/>
      <w:r w:rsidR="00092A4B" w:rsidRPr="00092A4B">
        <w:rPr>
          <w:rStyle w:val="s0"/>
          <w:sz w:val="28"/>
          <w:szCs w:val="28"/>
        </w:rPr>
        <w:t xml:space="preserve"> увеличивает соответствующий виду актива стоимостный баланс группы (</w:t>
      </w:r>
      <w:r w:rsidR="00092A4B" w:rsidRPr="00092A4B">
        <w:rPr>
          <w:szCs w:val="28"/>
        </w:rPr>
        <w:t>подгруппы).</w:t>
      </w:r>
    </w:p>
    <w:p w:rsidR="00092A4B" w:rsidRDefault="00092A4B" w:rsidP="00092A4B">
      <w:pPr>
        <w:ind w:firstLine="720"/>
        <w:jc w:val="both"/>
        <w:rPr>
          <w:szCs w:val="28"/>
        </w:rPr>
      </w:pPr>
      <w:r w:rsidRPr="00092A4B">
        <w:rPr>
          <w:szCs w:val="28"/>
        </w:rPr>
        <w:t>Таким образом, в соответствии с нормами Налогового кодекса налоговый учет последующих расходов</w:t>
      </w:r>
      <w:r>
        <w:rPr>
          <w:szCs w:val="28"/>
        </w:rPr>
        <w:t xml:space="preserve"> основывается на данных бухгалтерского учета.</w:t>
      </w:r>
    </w:p>
    <w:p w:rsidR="00092A4B" w:rsidRDefault="00B14640" w:rsidP="00CA46A3">
      <w:pPr>
        <w:ind w:firstLine="720"/>
        <w:jc w:val="both"/>
        <w:rPr>
          <w:szCs w:val="28"/>
        </w:rPr>
      </w:pPr>
      <w:hyperlink r:id="rId5" w:history="1">
        <w:r w:rsidR="00092A4B">
          <w:rPr>
            <w:bCs/>
            <w:szCs w:val="28"/>
          </w:rPr>
          <w:t>С</w:t>
        </w:r>
        <w:r w:rsidR="00092A4B" w:rsidRPr="002D673D">
          <w:rPr>
            <w:bCs/>
            <w:szCs w:val="28"/>
          </w:rPr>
          <w:t>убъекты крупного предпринимательства</w:t>
        </w:r>
      </w:hyperlink>
      <w:r w:rsidR="00092A4B" w:rsidRPr="002D673D">
        <w:rPr>
          <w:szCs w:val="28"/>
        </w:rPr>
        <w:t xml:space="preserve"> и организации публичного интереса </w:t>
      </w:r>
      <w:r w:rsidR="00092A4B">
        <w:rPr>
          <w:szCs w:val="28"/>
        </w:rPr>
        <w:t xml:space="preserve">в Республике Казахстан </w:t>
      </w:r>
      <w:r w:rsidR="00092A4B" w:rsidRPr="002D673D">
        <w:rPr>
          <w:szCs w:val="28"/>
        </w:rPr>
        <w:t>обязаны составлять финансовую отчетность в соответствии с международными стандартами.</w:t>
      </w:r>
    </w:p>
    <w:p w:rsidR="00092A4B" w:rsidRDefault="00092A4B" w:rsidP="009276A5">
      <w:pPr>
        <w:ind w:firstLine="720"/>
        <w:jc w:val="both"/>
        <w:rPr>
          <w:szCs w:val="28"/>
        </w:rPr>
      </w:pPr>
      <w:r>
        <w:rPr>
          <w:szCs w:val="28"/>
        </w:rPr>
        <w:t>Учет основных средств регулирует МСФО (</w:t>
      </w:r>
      <w:r>
        <w:rPr>
          <w:szCs w:val="28"/>
          <w:lang w:val="en-US"/>
        </w:rPr>
        <w:t>IAS</w:t>
      </w:r>
      <w:r w:rsidRPr="006349AF">
        <w:rPr>
          <w:szCs w:val="28"/>
        </w:rPr>
        <w:t xml:space="preserve"> 16</w:t>
      </w:r>
      <w:r>
        <w:rPr>
          <w:szCs w:val="28"/>
        </w:rPr>
        <w:t>) «Основные средства» согласно которому затраты, понесенные после того, как объект основных средств признан в бухгалтерском учете, увеличивает стоимость этого объекта основных средств только в случае, если существует вероятность того, что организация получит связанные с данным объектом будущие экономические выгоды.</w:t>
      </w:r>
    </w:p>
    <w:p w:rsidR="00CA46A3" w:rsidRPr="00243848" w:rsidRDefault="009276A5" w:rsidP="00CA46A3">
      <w:pPr>
        <w:ind w:firstLine="720"/>
        <w:jc w:val="both"/>
        <w:rPr>
          <w:szCs w:val="28"/>
        </w:rPr>
      </w:pPr>
      <w:r>
        <w:rPr>
          <w:szCs w:val="28"/>
        </w:rPr>
        <w:t>Согласно</w:t>
      </w:r>
      <w:r w:rsidR="00CA46A3" w:rsidRPr="00243848">
        <w:rPr>
          <w:szCs w:val="28"/>
        </w:rPr>
        <w:t xml:space="preserve"> </w:t>
      </w:r>
      <w:r w:rsidR="00B17884">
        <w:rPr>
          <w:bCs/>
          <w:szCs w:val="28"/>
        </w:rPr>
        <w:t>Методическим рекомендациям</w:t>
      </w:r>
      <w:r w:rsidR="00CA46A3" w:rsidRPr="00243848">
        <w:rPr>
          <w:bCs/>
          <w:szCs w:val="28"/>
        </w:rPr>
        <w:t xml:space="preserve"> по применению</w:t>
      </w:r>
      <w:r w:rsidR="00CA46A3" w:rsidRPr="00243848">
        <w:rPr>
          <w:szCs w:val="28"/>
        </w:rPr>
        <w:t xml:space="preserve"> </w:t>
      </w:r>
      <w:r w:rsidR="00CA46A3" w:rsidRPr="00243848">
        <w:rPr>
          <w:bCs/>
          <w:szCs w:val="28"/>
        </w:rPr>
        <w:t xml:space="preserve">международного стандарта бухгалтерского учета </w:t>
      </w:r>
      <w:r w:rsidR="00CA46A3" w:rsidRPr="00243848">
        <w:rPr>
          <w:szCs w:val="28"/>
        </w:rPr>
        <w:t>(</w:t>
      </w:r>
      <w:r w:rsidR="00CA46A3" w:rsidRPr="00243848">
        <w:rPr>
          <w:szCs w:val="28"/>
          <w:lang w:val="en-US"/>
        </w:rPr>
        <w:t>IAS</w:t>
      </w:r>
      <w:r w:rsidR="00CA46A3" w:rsidRPr="00243848">
        <w:rPr>
          <w:szCs w:val="28"/>
        </w:rPr>
        <w:t xml:space="preserve"> 16) </w:t>
      </w:r>
      <w:r w:rsidR="00CA46A3" w:rsidRPr="00243848">
        <w:rPr>
          <w:bCs/>
          <w:szCs w:val="28"/>
        </w:rPr>
        <w:t>«Недвижимость, здания и оборудование» (далее – Методические рекомендации)</w:t>
      </w:r>
      <w:r w:rsidR="00CA46A3" w:rsidRPr="00243848">
        <w:rPr>
          <w:szCs w:val="28"/>
        </w:rPr>
        <w:t xml:space="preserve"> примерами затрат, увеличивающих будущие экономические выгоды, (капитальных вложений) могут быть затраты на:</w:t>
      </w:r>
    </w:p>
    <w:p w:rsidR="00CA46A3" w:rsidRPr="00243848" w:rsidRDefault="00CA46A3" w:rsidP="00CA46A3">
      <w:pPr>
        <w:ind w:firstLine="720"/>
        <w:jc w:val="both"/>
        <w:rPr>
          <w:szCs w:val="28"/>
        </w:rPr>
      </w:pPr>
      <w:r w:rsidRPr="00243848">
        <w:rPr>
          <w:szCs w:val="28"/>
        </w:rPr>
        <w:t>1) модификацию объекта основных средств для продления срока его полезного использования, включая повышение его мощности;</w:t>
      </w:r>
    </w:p>
    <w:p w:rsidR="00CA46A3" w:rsidRPr="00243848" w:rsidRDefault="00CA46A3" w:rsidP="00CA46A3">
      <w:pPr>
        <w:ind w:firstLine="720"/>
        <w:jc w:val="both"/>
        <w:rPr>
          <w:szCs w:val="28"/>
        </w:rPr>
      </w:pPr>
      <w:r w:rsidRPr="00243848">
        <w:rPr>
          <w:szCs w:val="28"/>
        </w:rPr>
        <w:t>2) усовершенствование деталей машин для достижения значительного улучшения качества продукции;</w:t>
      </w:r>
    </w:p>
    <w:p w:rsidR="00CA46A3" w:rsidRPr="00243848" w:rsidRDefault="00CA46A3" w:rsidP="00CA46A3">
      <w:pPr>
        <w:ind w:firstLine="720"/>
        <w:jc w:val="both"/>
        <w:rPr>
          <w:szCs w:val="28"/>
        </w:rPr>
      </w:pPr>
      <w:r w:rsidRPr="00243848">
        <w:rPr>
          <w:szCs w:val="28"/>
        </w:rPr>
        <w:t>3) внедрение новых производственных процессов, позволяющих значительно сократить ранее оцененные операционные затраты.</w:t>
      </w:r>
    </w:p>
    <w:p w:rsidR="00CA46A3" w:rsidRPr="00243848" w:rsidRDefault="00CA46A3" w:rsidP="00CA46A3">
      <w:pPr>
        <w:spacing w:line="274" w:lineRule="atLeast"/>
        <w:ind w:left="5" w:right="5" w:firstLine="696"/>
        <w:jc w:val="both"/>
        <w:rPr>
          <w:szCs w:val="28"/>
        </w:rPr>
      </w:pPr>
      <w:r w:rsidRPr="00243848">
        <w:rPr>
          <w:szCs w:val="28"/>
        </w:rPr>
        <w:lastRenderedPageBreak/>
        <w:t>При этом, увеличение балансовой стоимости объектов недвижимости, зданий и оборудования в результате последующих капитальных вложений производится только в случае, если будущие экономические выгоды сверх первоначально оцененных норм поступят в организацию. Все прочие последующие затраты должны быть признаны как расход за период, в котором они были понесены.</w:t>
      </w:r>
    </w:p>
    <w:p w:rsidR="00CA46A3" w:rsidRDefault="00CA46A3" w:rsidP="00CA46A3">
      <w:pPr>
        <w:ind w:firstLine="720"/>
        <w:jc w:val="both"/>
        <w:rPr>
          <w:szCs w:val="28"/>
        </w:rPr>
      </w:pPr>
      <w:r>
        <w:rPr>
          <w:szCs w:val="28"/>
        </w:rPr>
        <w:t>В</w:t>
      </w:r>
      <w:r w:rsidRPr="00243848">
        <w:rPr>
          <w:szCs w:val="28"/>
        </w:rPr>
        <w:t xml:space="preserve"> соответствии с пунктом 31 Методических рекомендаций затраты на ремонт и эксплуатацию недвижимости, зданий и оборудования, производимые в целях сохранения и поддержания технического состояния объекта первоначальную стоимость не увеличивают, а признаются как текущие расходы в момент их возникновения.</w:t>
      </w:r>
    </w:p>
    <w:p w:rsidR="00CA46A3" w:rsidRDefault="00CA46A3" w:rsidP="00CA46A3">
      <w:pPr>
        <w:ind w:firstLine="720"/>
        <w:jc w:val="both"/>
        <w:rPr>
          <w:szCs w:val="28"/>
        </w:rPr>
      </w:pPr>
      <w:r>
        <w:rPr>
          <w:szCs w:val="28"/>
        </w:rPr>
        <w:t>Исходя из вышеизложенного следует, что положениями МСФО (</w:t>
      </w:r>
      <w:r>
        <w:rPr>
          <w:szCs w:val="28"/>
          <w:lang w:val="en-US"/>
        </w:rPr>
        <w:t>IAS</w:t>
      </w:r>
      <w:r w:rsidRPr="006349AF">
        <w:rPr>
          <w:szCs w:val="28"/>
        </w:rPr>
        <w:t xml:space="preserve"> 16</w:t>
      </w:r>
      <w:r>
        <w:rPr>
          <w:szCs w:val="28"/>
        </w:rPr>
        <w:t>), предусмотрено увеличение стоимости объекта основных средств только в случаях, если ремонтные работы повлекли за собой модификацию объекта, продление срока его использования, повышение мощности, улучшения качества продукции.</w:t>
      </w:r>
    </w:p>
    <w:p w:rsidR="009276A5" w:rsidRDefault="00340B7D" w:rsidP="009276A5">
      <w:pPr>
        <w:ind w:firstLine="720"/>
        <w:jc w:val="both"/>
        <w:rPr>
          <w:szCs w:val="28"/>
        </w:rPr>
      </w:pPr>
      <w:r>
        <w:rPr>
          <w:szCs w:val="28"/>
        </w:rPr>
        <w:t>Таким образом, в налоговом учете расходы на ремонт, производимые в целях сохранения и поддержания технического состояния объекта относятся на пря</w:t>
      </w:r>
      <w:r w:rsidR="009276A5">
        <w:rPr>
          <w:szCs w:val="28"/>
        </w:rPr>
        <w:t>мые вычеты, а расходы на ремонт, повлекшие модификацию объекта, продление срока его использования, повышение мощности, улучшения качества продукции увеличивают балансовую стоимость объекта и относятся на вычеты через амортизационные отчисления.</w:t>
      </w:r>
    </w:p>
    <w:p w:rsidR="00340B7D" w:rsidRDefault="00340B7D" w:rsidP="00CA46A3">
      <w:pPr>
        <w:ind w:firstLine="720"/>
        <w:jc w:val="both"/>
        <w:rPr>
          <w:szCs w:val="28"/>
        </w:rPr>
      </w:pPr>
    </w:p>
    <w:p w:rsidR="00092A4B" w:rsidRDefault="00092A4B" w:rsidP="00092A4B">
      <w:pPr>
        <w:ind w:firstLine="720"/>
        <w:jc w:val="both"/>
        <w:rPr>
          <w:szCs w:val="28"/>
        </w:rPr>
      </w:pPr>
    </w:p>
    <w:p w:rsidR="00092A4B" w:rsidRPr="008C1500" w:rsidRDefault="00092A4B" w:rsidP="008C1500">
      <w:pPr>
        <w:ind w:firstLine="720"/>
        <w:jc w:val="both"/>
      </w:pPr>
    </w:p>
    <w:sectPr w:rsidR="00092A4B" w:rsidRPr="008C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C9"/>
    <w:rsid w:val="00092A4B"/>
    <w:rsid w:val="00333DC9"/>
    <w:rsid w:val="00340B7D"/>
    <w:rsid w:val="0089493A"/>
    <w:rsid w:val="008C1500"/>
    <w:rsid w:val="009276A5"/>
    <w:rsid w:val="00B14640"/>
    <w:rsid w:val="00B16AFF"/>
    <w:rsid w:val="00B17884"/>
    <w:rsid w:val="00B5692B"/>
    <w:rsid w:val="00CA46A3"/>
    <w:rsid w:val="00CD6B74"/>
    <w:rsid w:val="00F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8C150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pmsonormal">
    <w:name w:val="pmsonormal"/>
    <w:basedOn w:val="a"/>
    <w:rsid w:val="008C1500"/>
    <w:pPr>
      <w:spacing w:line="280" w:lineRule="auto"/>
      <w:ind w:left="567"/>
      <w:jc w:val="both"/>
    </w:pPr>
    <w:rPr>
      <w:sz w:val="24"/>
      <w:szCs w:val="24"/>
    </w:rPr>
  </w:style>
  <w:style w:type="character" w:styleId="a3">
    <w:name w:val="Hyperlink"/>
    <w:basedOn w:val="a0"/>
    <w:rsid w:val="008C1500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styleId="a4">
    <w:name w:val="Balloon Text"/>
    <w:basedOn w:val="a"/>
    <w:semiHidden/>
    <w:rsid w:val="00B17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8C150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pmsonormal">
    <w:name w:val="pmsonormal"/>
    <w:basedOn w:val="a"/>
    <w:rsid w:val="008C1500"/>
    <w:pPr>
      <w:spacing w:line="280" w:lineRule="auto"/>
      <w:ind w:left="567"/>
      <w:jc w:val="both"/>
    </w:pPr>
    <w:rPr>
      <w:sz w:val="24"/>
      <w:szCs w:val="24"/>
    </w:rPr>
  </w:style>
  <w:style w:type="character" w:styleId="a3">
    <w:name w:val="Hyperlink"/>
    <w:basedOn w:val="a0"/>
    <w:rsid w:val="008C1500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styleId="a4">
    <w:name w:val="Balloon Text"/>
    <w:basedOn w:val="a"/>
    <w:semiHidden/>
    <w:rsid w:val="00B17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0044096.608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классификации последующих раходов в налоговом учете</vt:lpstr>
    </vt:vector>
  </TitlesOfParts>
  <Company>Home</Company>
  <LinksUpToDate>false</LinksUpToDate>
  <CharactersWithSpaces>3831</CharactersWithSpaces>
  <SharedDoc>false</SharedDoc>
  <HLinks>
    <vt:vector size="12" baseType="variant">
      <vt:variant>
        <vt:i4>4980828</vt:i4>
      </vt:variant>
      <vt:variant>
        <vt:i4>3</vt:i4>
      </vt:variant>
      <vt:variant>
        <vt:i4>0</vt:i4>
      </vt:variant>
      <vt:variant>
        <vt:i4>5</vt:i4>
      </vt:variant>
      <vt:variant>
        <vt:lpwstr>jl:30044096.60800</vt:lpwstr>
      </vt:variant>
      <vt:variant>
        <vt:lpwstr/>
      </vt:variant>
      <vt:variant>
        <vt:i4>7798883</vt:i4>
      </vt:variant>
      <vt:variant>
        <vt:i4>0</vt:i4>
      </vt:variant>
      <vt:variant>
        <vt:i4>0</vt:i4>
      </vt:variant>
      <vt:variant>
        <vt:i4>5</vt:i4>
      </vt:variant>
      <vt:variant>
        <vt:lpwstr>jl:30366217.1220300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классификации последующих раходов в налоговом учете</dc:title>
  <dc:creator>ebegalinov</dc:creator>
  <cp:lastModifiedBy>ww</cp:lastModifiedBy>
  <cp:revision>2</cp:revision>
  <cp:lastPrinted>2013-06-11T11:27:00Z</cp:lastPrinted>
  <dcterms:created xsi:type="dcterms:W3CDTF">2014-12-24T03:32:00Z</dcterms:created>
  <dcterms:modified xsi:type="dcterms:W3CDTF">2014-12-24T03:32:00Z</dcterms:modified>
</cp:coreProperties>
</file>