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9E" w:rsidRDefault="00CE259E" w:rsidP="00CE259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уақытша бос мемлекеттік әкімшілік лауазымдарына орналасу үшін ішкі конкурс өткізу туралы хабарландыру</w:t>
      </w:r>
    </w:p>
    <w:p w:rsidR="00D7082E" w:rsidRPr="00CE259E" w:rsidRDefault="00D7082E" w:rsidP="00D7082E">
      <w:pPr>
        <w:spacing w:after="0" w:line="240" w:lineRule="auto"/>
        <w:jc w:val="center"/>
        <w:rPr>
          <w:rFonts w:ascii="Times New Roman" w:hAnsi="Times New Roman"/>
          <w:b/>
          <w:sz w:val="24"/>
          <w:szCs w:val="24"/>
          <w:lang w:val="en-US"/>
        </w:rPr>
      </w:pP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2D3154">
      <w:pPr>
        <w:pStyle w:val="disclaimer"/>
        <w:spacing w:after="0" w:line="240" w:lineRule="auto"/>
        <w:ind w:firstLine="709"/>
        <w:contextualSpacing/>
        <w:jc w:val="both"/>
        <w:rPr>
          <w:rFonts w:ascii="Times New Roman" w:hAnsi="Times New Roman"/>
          <w:sz w:val="24"/>
          <w:szCs w:val="24"/>
          <w:lang w:val="kk-KZ"/>
        </w:rPr>
      </w:pPr>
      <w:r>
        <w:rPr>
          <w:rFonts w:ascii="Times New Roman" w:hAnsi="Times New Roman" w:cs="Times New Roman"/>
          <w:b/>
          <w:color w:val="000000"/>
          <w:sz w:val="24"/>
          <w:szCs w:val="24"/>
          <w:lang w:val="kk-KZ"/>
        </w:rPr>
        <w:tab/>
      </w:r>
    </w:p>
    <w:p w:rsidR="004E5217" w:rsidRDefault="004E5217" w:rsidP="004E5217">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2F098E">
        <w:rPr>
          <w:rFonts w:ascii="Times New Roman" w:hAnsi="Times New Roman"/>
          <w:b/>
          <w:spacing w:val="-2"/>
          <w:sz w:val="24"/>
          <w:szCs w:val="24"/>
          <w:lang w:val="kk-KZ"/>
        </w:rPr>
        <w:t xml:space="preserve"> </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EA3709">
        <w:tc>
          <w:tcPr>
            <w:tcW w:w="1701" w:type="dxa"/>
            <w:vMerge w:val="restart"/>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EA3709">
        <w:tc>
          <w:tcPr>
            <w:tcW w:w="1701" w:type="dxa"/>
            <w:vMerge/>
          </w:tcPr>
          <w:p w:rsidR="004E5217" w:rsidRPr="00E85519" w:rsidRDefault="004E5217" w:rsidP="00EA3709">
            <w:pPr>
              <w:ind w:right="99"/>
              <w:jc w:val="center"/>
              <w:rPr>
                <w:rFonts w:ascii="Times New Roman" w:hAnsi="Times New Roman"/>
                <w:b/>
                <w:sz w:val="24"/>
                <w:szCs w:val="24"/>
              </w:rPr>
            </w:pPr>
          </w:p>
        </w:tc>
        <w:tc>
          <w:tcPr>
            <w:tcW w:w="3544"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2F098E" w:rsidRPr="002F098E">
        <w:rPr>
          <w:rFonts w:ascii="Times New Roman" w:hAnsi="Times New Roman"/>
          <w:i/>
          <w:sz w:val="24"/>
          <w:szCs w:val="24"/>
          <w:lang w:val="kk-KZ" w:eastAsia="ru-RU"/>
        </w:rPr>
        <w:t xml:space="preserve"> </w:t>
      </w:r>
      <w:hyperlink r:id="rId5" w:history="1">
        <w:r w:rsidR="00764C21" w:rsidRPr="00764C21">
          <w:rPr>
            <w:rStyle w:val="a4"/>
            <w:rFonts w:ascii="Times New Roman" w:hAnsi="Times New Roman"/>
            <w:sz w:val="24"/>
            <w:szCs w:val="24"/>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w:t>
      </w:r>
      <w:r w:rsidR="00764C21">
        <w:rPr>
          <w:rFonts w:ascii="Times New Roman" w:hAnsi="Times New Roman"/>
          <w:b/>
          <w:sz w:val="24"/>
          <w:szCs w:val="24"/>
          <w:lang w:val="kk-KZ"/>
        </w:rPr>
        <w:t>уақытша бос</w:t>
      </w:r>
      <w:bookmarkStart w:id="0" w:name="_GoBack"/>
      <w:bookmarkEnd w:id="0"/>
      <w:r w:rsidR="004E5217">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2D3154" w:rsidRPr="002D3154" w:rsidRDefault="00764C21" w:rsidP="002D3154">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002D3154" w:rsidRPr="002D3154">
        <w:rPr>
          <w:rFonts w:ascii="Times New Roman" w:hAnsi="Times New Roman"/>
          <w:b/>
          <w:sz w:val="24"/>
          <w:szCs w:val="24"/>
          <w:lang w:val="kk-KZ"/>
        </w:rPr>
        <w:t xml:space="preserve">. Заңды тұлғаларды  әкімшілендіру </w:t>
      </w:r>
      <w:r w:rsidR="002D3154" w:rsidRPr="002D3154">
        <w:rPr>
          <w:rFonts w:ascii="Times New Roman" w:eastAsia="Times New Roman" w:hAnsi="Times New Roman"/>
          <w:b/>
          <w:sz w:val="24"/>
          <w:szCs w:val="24"/>
          <w:lang w:val="kk-KZ"/>
        </w:rPr>
        <w:t xml:space="preserve">бөлімінің бас маманы, С-R-4 санаты  </w:t>
      </w:r>
      <w:r w:rsidRPr="007B42D2">
        <w:rPr>
          <w:rFonts w:ascii="Times New Roman" w:eastAsia="Times New Roman" w:hAnsi="Times New Roman"/>
          <w:b/>
          <w:sz w:val="24"/>
          <w:szCs w:val="24"/>
          <w:lang w:val="kk-KZ"/>
        </w:rPr>
        <w:t>(</w:t>
      </w:r>
      <w:r w:rsidRPr="007B42D2">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Pr="00764C21">
        <w:rPr>
          <w:rFonts w:ascii="Times New Roman" w:hAnsi="Times New Roman"/>
          <w:b/>
          <w:sz w:val="24"/>
          <w:szCs w:val="20"/>
          <w:lang w:val="kk-KZ"/>
        </w:rPr>
        <w:t>24.02.2024</w:t>
      </w:r>
      <w:r w:rsidRPr="007B42D2">
        <w:rPr>
          <w:rFonts w:ascii="Times New Roman" w:hAnsi="Times New Roman"/>
          <w:b/>
          <w:bCs/>
          <w:color w:val="000000" w:themeColor="text1"/>
          <w:sz w:val="24"/>
          <w:szCs w:val="24"/>
          <w:lang w:val="kk-KZ"/>
        </w:rPr>
        <w:t xml:space="preserve"> </w:t>
      </w:r>
      <w:r>
        <w:rPr>
          <w:rFonts w:ascii="Times New Roman" w:hAnsi="Times New Roman"/>
          <w:b/>
          <w:bCs/>
          <w:color w:val="000000" w:themeColor="text1"/>
          <w:sz w:val="24"/>
          <w:szCs w:val="24"/>
          <w:lang w:val="kk-KZ"/>
        </w:rPr>
        <w:t xml:space="preserve"> </w:t>
      </w:r>
      <w:r w:rsidRPr="007B42D2">
        <w:rPr>
          <w:rFonts w:ascii="Times New Roman" w:hAnsi="Times New Roman"/>
          <w:b/>
          <w:color w:val="000000"/>
          <w:sz w:val="24"/>
          <w:szCs w:val="24"/>
          <w:lang w:val="kk-KZ"/>
        </w:rPr>
        <w:t>жылға дейін</w:t>
      </w:r>
      <w:r w:rsidRPr="002D2A48">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Pr="007B42D2">
        <w:rPr>
          <w:rFonts w:ascii="Times New Roman" w:hAnsi="Times New Roman"/>
          <w:b/>
          <w:color w:val="000000"/>
          <w:sz w:val="24"/>
          <w:szCs w:val="24"/>
          <w:lang w:val="kk-KZ"/>
        </w:rPr>
        <w:t>).</w:t>
      </w:r>
    </w:p>
    <w:p w:rsidR="002D3154" w:rsidRPr="005D4699" w:rsidRDefault="002D3154" w:rsidP="002D3154">
      <w:pPr>
        <w:spacing w:after="0" w:line="240" w:lineRule="auto"/>
        <w:jc w:val="both"/>
        <w:rPr>
          <w:rFonts w:ascii="Times New Roman" w:eastAsia="Times New Roman" w:hAnsi="Times New Roman"/>
          <w:sz w:val="24"/>
          <w:szCs w:val="24"/>
          <w:lang w:val="kk-KZ"/>
        </w:rPr>
      </w:pPr>
      <w:r w:rsidRPr="002D3154">
        <w:rPr>
          <w:rFonts w:ascii="Times New Roman" w:hAnsi="Times New Roman"/>
          <w:b/>
          <w:sz w:val="24"/>
          <w:szCs w:val="24"/>
          <w:lang w:val="kk-KZ"/>
        </w:rPr>
        <w:tab/>
        <w:t>Қызметтік міндеттері:</w:t>
      </w:r>
      <w:r w:rsidRPr="002D3154">
        <w:rPr>
          <w:rFonts w:ascii="Times New Roman" w:eastAsia="Times New Roman" w:hAnsi="Times New Roman"/>
          <w:sz w:val="24"/>
          <w:szCs w:val="24"/>
          <w:lang w:val="kk-KZ"/>
        </w:rPr>
        <w:t xml:space="preserve"> Өз құзіреті шеңберінде салық міндеттемелерінің пайда болуы, орындалуы</w:t>
      </w:r>
      <w:r w:rsidRPr="005D4699">
        <w:rPr>
          <w:rFonts w:ascii="Times New Roman" w:eastAsia="Times New Roman" w:hAnsi="Times New Roman"/>
          <w:sz w:val="24"/>
          <w:szCs w:val="24"/>
          <w:lang w:val="kk-KZ"/>
        </w:rPr>
        <w:t xml:space="preserve">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w:t>
      </w:r>
      <w:r w:rsidRPr="005D4699">
        <w:rPr>
          <w:rFonts w:ascii="Times New Roman" w:eastAsia="Times New Roman" w:hAnsi="Times New Roman"/>
          <w:sz w:val="24"/>
          <w:szCs w:val="24"/>
          <w:lang w:val="kk-KZ"/>
        </w:rPr>
        <w:lastRenderedPageBreak/>
        <w:t>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2D3154" w:rsidRPr="002F098E" w:rsidRDefault="002D3154" w:rsidP="002D3154">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w:t>
      </w:r>
      <w:r w:rsidRPr="002F098E">
        <w:rPr>
          <w:rFonts w:ascii="Times New Roman" w:hAnsi="Times New Roman"/>
          <w:sz w:val="24"/>
          <w:szCs w:val="24"/>
          <w:lang w:val="kk-KZ"/>
        </w:rPr>
        <w:t>кем емес жұмыс өтілі бар болған жағдайда орта білімнен кейінгі немесе техникалық және кәсіптік білім барларға рұқсат етіледі.</w:t>
      </w:r>
    </w:p>
    <w:p w:rsidR="002F098E" w:rsidRPr="002F098E" w:rsidRDefault="002F098E" w:rsidP="002D3154">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764C21">
        <w:rPr>
          <w:rFonts w:ascii="Times New Roman" w:hAnsi="Times New Roman"/>
          <w:b/>
          <w:color w:val="000000"/>
          <w:sz w:val="24"/>
          <w:szCs w:val="24"/>
          <w:lang w:val="kk-KZ"/>
        </w:rPr>
        <w:t xml:space="preserve">Құжаттар қабылдау уақыты: </w:t>
      </w:r>
      <w:r w:rsidR="00764C21" w:rsidRPr="00764C21">
        <w:rPr>
          <w:rFonts w:ascii="Times New Roman" w:hAnsi="Times New Roman"/>
          <w:b/>
          <w:color w:val="000000"/>
          <w:sz w:val="24"/>
          <w:szCs w:val="24"/>
          <w:lang w:val="kk-KZ"/>
        </w:rPr>
        <w:t>08.12.2021-10.12.2021</w:t>
      </w:r>
      <w:r w:rsidRPr="00764C21">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eastAsia="ru-RU"/>
        </w:rPr>
        <w:lastRenderedPageBreak/>
        <w:t xml:space="preserve">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Соңғы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B1BDA"/>
    <w:rsid w:val="000B330B"/>
    <w:rsid w:val="000B4695"/>
    <w:rsid w:val="000B6407"/>
    <w:rsid w:val="000E20CE"/>
    <w:rsid w:val="00143D92"/>
    <w:rsid w:val="00192DE7"/>
    <w:rsid w:val="001C42DD"/>
    <w:rsid w:val="00250246"/>
    <w:rsid w:val="00252AC3"/>
    <w:rsid w:val="0028701E"/>
    <w:rsid w:val="002D3154"/>
    <w:rsid w:val="002E42F9"/>
    <w:rsid w:val="002F068B"/>
    <w:rsid w:val="002F098E"/>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04141"/>
    <w:rsid w:val="00711161"/>
    <w:rsid w:val="0072649E"/>
    <w:rsid w:val="00764C21"/>
    <w:rsid w:val="007B42D2"/>
    <w:rsid w:val="008549A7"/>
    <w:rsid w:val="00855FE0"/>
    <w:rsid w:val="008B5949"/>
    <w:rsid w:val="008E1F06"/>
    <w:rsid w:val="008F33FF"/>
    <w:rsid w:val="00905737"/>
    <w:rsid w:val="00910CD6"/>
    <w:rsid w:val="00914634"/>
    <w:rsid w:val="00931D02"/>
    <w:rsid w:val="00932111"/>
    <w:rsid w:val="00A0755F"/>
    <w:rsid w:val="00A50BF1"/>
    <w:rsid w:val="00A57B60"/>
    <w:rsid w:val="00B12E64"/>
    <w:rsid w:val="00B6046E"/>
    <w:rsid w:val="00B60DC0"/>
    <w:rsid w:val="00B66BA2"/>
    <w:rsid w:val="00B94C02"/>
    <w:rsid w:val="00C25346"/>
    <w:rsid w:val="00C32FCC"/>
    <w:rsid w:val="00C45DF8"/>
    <w:rsid w:val="00CB7137"/>
    <w:rsid w:val="00CE259E"/>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nugym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56</cp:revision>
  <dcterms:created xsi:type="dcterms:W3CDTF">2019-09-26T10:40:00Z</dcterms:created>
  <dcterms:modified xsi:type="dcterms:W3CDTF">2021-12-06T12:28:00Z</dcterms:modified>
</cp:coreProperties>
</file>