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F4509D">
        <w:rPr>
          <w:i w:val="0"/>
          <w:lang w:val="kk-KZ"/>
        </w:rPr>
        <w:t xml:space="preserve">және уақытша 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411CAF" w:rsidRPr="00B7395C" w:rsidRDefault="00A87C8E" w:rsidP="00411CAF">
      <w:pPr>
        <w:ind w:firstLine="708"/>
        <w:jc w:val="both"/>
        <w:rPr>
          <w:rStyle w:val="a6"/>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6" w:history="1">
        <w:r w:rsidR="00F67AE5" w:rsidRPr="00735E9D">
          <w:rPr>
            <w:rStyle w:val="a6"/>
            <w:rFonts w:ascii="Times New Roman" w:eastAsiaTheme="majorEastAsia" w:hAnsi="Times New Roman" w:cs="Times New Roman"/>
            <w:bCs w:val="0"/>
            <w:i w:val="0"/>
            <w:iCs w:val="0"/>
            <w:sz w:val="28"/>
            <w:szCs w:val="28"/>
            <w:lang w:val="kk-KZ"/>
          </w:rPr>
          <w:t>al.kabildinova@kgd.gov.kz</w:t>
        </w:r>
      </w:hyperlink>
      <w:r w:rsidR="00411CAF" w:rsidRPr="00411CAF">
        <w:rPr>
          <w:rStyle w:val="a6"/>
          <w:rFonts w:ascii="Times New Roman" w:eastAsiaTheme="majorEastAsia" w:hAnsi="Times New Roman" w:cs="Times New Roman"/>
          <w:bCs w:val="0"/>
          <w:i w:val="0"/>
          <w:iCs w:val="0"/>
          <w:color w:val="7030A0"/>
          <w:sz w:val="28"/>
          <w:szCs w:val="28"/>
          <w:lang w:val="kk-KZ"/>
        </w:rPr>
        <w:t>;</w:t>
      </w:r>
      <w:r w:rsidR="00F67AE5">
        <w:rPr>
          <w:rStyle w:val="a6"/>
          <w:rFonts w:ascii="Times New Roman" w:eastAsiaTheme="majorEastAsia" w:hAnsi="Times New Roman" w:cs="Times New Roman"/>
          <w:bCs w:val="0"/>
          <w:i w:val="0"/>
          <w:iCs w:val="0"/>
          <w:color w:val="7030A0"/>
          <w:sz w:val="28"/>
          <w:szCs w:val="28"/>
          <w:lang w:val="kk-KZ"/>
        </w:rPr>
        <w:t xml:space="preserve"> </w:t>
      </w:r>
      <w:r w:rsidR="00411CAF" w:rsidRPr="008734AD">
        <w:rPr>
          <w:rStyle w:val="a6"/>
          <w:rFonts w:ascii="Times New Roman" w:eastAsiaTheme="majorEastAsia" w:hAnsi="Times New Roman" w:cs="Times New Roman"/>
          <w:bCs w:val="0"/>
          <w:i w:val="0"/>
          <w:iCs w:val="0"/>
          <w:color w:val="7030A0"/>
          <w:sz w:val="28"/>
          <w:szCs w:val="28"/>
          <w:lang w:val="kk-KZ"/>
        </w:rPr>
        <w:t>n.syzdygalina@kgd.gov.kz</w:t>
      </w:r>
    </w:p>
    <w:p w:rsidR="00A87C8E" w:rsidRDefault="00F42209" w:rsidP="00411CAF">
      <w:pPr>
        <w:ind w:firstLine="708"/>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365207" w:rsidRPr="00B8434C" w:rsidRDefault="00D93BF1" w:rsidP="00365207">
      <w:pPr>
        <w:ind w:firstLine="708"/>
        <w:jc w:val="both"/>
        <w:rPr>
          <w:rFonts w:eastAsia="MS Mincho"/>
          <w:i w:val="0"/>
          <w:lang w:val="kk-KZ" w:eastAsia="ko-KR"/>
        </w:rPr>
      </w:pPr>
      <w:r>
        <w:rPr>
          <w:i w:val="0"/>
          <w:lang w:val="kk-KZ"/>
        </w:rPr>
        <w:t>1</w:t>
      </w:r>
      <w:r w:rsidRPr="00B8434C">
        <w:rPr>
          <w:i w:val="0"/>
          <w:lang w:val="kk-KZ"/>
        </w:rPr>
        <w:t>.</w:t>
      </w:r>
      <w:r w:rsidR="00365207" w:rsidRPr="00B8434C">
        <w:rPr>
          <w:bCs w:val="0"/>
          <w:i w:val="0"/>
          <w:lang w:val="kk-KZ"/>
        </w:rPr>
        <w:t xml:space="preserve"> </w:t>
      </w:r>
      <w:r w:rsidR="00365207" w:rsidRPr="00365207">
        <w:rPr>
          <w:bCs w:val="0"/>
          <w:i w:val="0"/>
          <w:lang w:val="kk-KZ"/>
        </w:rPr>
        <w:t xml:space="preserve">Жеке кәсіпкерлерді әкімшілендіру </w:t>
      </w:r>
      <w:r w:rsidR="00365207" w:rsidRPr="00B8434C">
        <w:rPr>
          <w:bCs w:val="0"/>
          <w:i w:val="0"/>
          <w:lang w:val="kk-KZ"/>
        </w:rPr>
        <w:t>бөлімінің бас маманы</w:t>
      </w:r>
      <w:r w:rsidR="00365207">
        <w:rPr>
          <w:bCs w:val="0"/>
          <w:i w:val="0"/>
          <w:lang w:val="kk-KZ"/>
        </w:rPr>
        <w:t xml:space="preserve"> (негізгі </w:t>
      </w:r>
      <w:r w:rsidR="00365207">
        <w:rPr>
          <w:bCs w:val="0"/>
          <w:i w:val="0"/>
          <w:lang w:val="kk-KZ"/>
        </w:rPr>
        <w:lastRenderedPageBreak/>
        <w:t>қызметкер Д.К</w:t>
      </w:r>
      <w:r w:rsidR="00365207" w:rsidRPr="00365207">
        <w:rPr>
          <w:bCs w:val="0"/>
          <w:i w:val="0"/>
          <w:lang w:val="kk-KZ"/>
        </w:rPr>
        <w:t>.</w:t>
      </w:r>
      <w:r w:rsidR="00365207">
        <w:rPr>
          <w:bCs w:val="0"/>
          <w:i w:val="0"/>
          <w:lang w:val="kk-KZ"/>
        </w:rPr>
        <w:t>Уткелбае</w:t>
      </w:r>
      <w:r w:rsidR="00365207" w:rsidRPr="00365207">
        <w:rPr>
          <w:bCs w:val="0"/>
          <w:i w:val="0"/>
          <w:lang w:val="kk-KZ"/>
        </w:rPr>
        <w:t xml:space="preserve">ваның бала күтіміне арналған демалысы уақытына 08.08.2024 </w:t>
      </w:r>
      <w:r w:rsidR="00365207">
        <w:rPr>
          <w:bCs w:val="0"/>
          <w:i w:val="0"/>
          <w:lang w:val="kk-KZ"/>
        </w:rPr>
        <w:t>жылға дейін), С-R-4 санаты, «А</w:t>
      </w:r>
      <w:r w:rsidR="00365207" w:rsidRPr="00365207">
        <w:rPr>
          <w:bCs w:val="0"/>
          <w:i w:val="0"/>
          <w:lang w:val="kk-KZ"/>
        </w:rPr>
        <w:t>» функционалдық блогы (1 бірлік)</w:t>
      </w:r>
    </w:p>
    <w:p w:rsidR="00FE6A14" w:rsidRDefault="00365207" w:rsidP="00365207">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FE6A14" w:rsidRPr="00FE6A14">
        <w:rPr>
          <w:b w:val="0"/>
          <w:i w:val="0"/>
          <w:lang w:val="kk-KZ"/>
        </w:rPr>
        <w:t>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365207" w:rsidRPr="00936D35" w:rsidRDefault="00365207" w:rsidP="00365207">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365207" w:rsidRDefault="00365207" w:rsidP="00365207">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1108" w:rsidRPr="00B8434C" w:rsidRDefault="00CE1108" w:rsidP="00CE1108">
      <w:pPr>
        <w:shd w:val="clear" w:color="auto" w:fill="FFFFFF" w:themeFill="background1"/>
        <w:ind w:firstLine="708"/>
        <w:jc w:val="both"/>
        <w:rPr>
          <w:b w:val="0"/>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9A356E">
        <w:rPr>
          <w:i w:val="0"/>
          <w:highlight w:val="yellow"/>
          <w:lang w:val="kk-KZ"/>
        </w:rPr>
        <w:t>20</w:t>
      </w:r>
      <w:r w:rsidR="00412430">
        <w:rPr>
          <w:i w:val="0"/>
          <w:highlight w:val="yellow"/>
          <w:lang w:val="kk-KZ"/>
        </w:rPr>
        <w:t>.0</w:t>
      </w:r>
      <w:r w:rsidR="009A356E">
        <w:rPr>
          <w:i w:val="0"/>
          <w:highlight w:val="yellow"/>
          <w:lang w:val="kk-KZ"/>
        </w:rPr>
        <w:t>7.2022-22</w:t>
      </w:r>
      <w:bookmarkStart w:id="0" w:name="_GoBack"/>
      <w:bookmarkEnd w:id="0"/>
      <w:r w:rsidR="00A85379">
        <w:rPr>
          <w:i w:val="0"/>
          <w:highlight w:val="yellow"/>
          <w:lang w:val="kk-KZ"/>
        </w:rPr>
        <w:t>.0</w:t>
      </w:r>
      <w:r w:rsidR="002D10D5">
        <w:rPr>
          <w:i w:val="0"/>
          <w:highlight w:val="yellow"/>
          <w:lang w:val="kk-KZ"/>
        </w:rPr>
        <w:t>7</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w:t>
      </w:r>
      <w:r w:rsidRPr="00B8434C">
        <w:rPr>
          <w:b w:val="0"/>
          <w:i w:val="0"/>
          <w:lang w:val="kk-KZ"/>
        </w:rPr>
        <w:lastRenderedPageBreak/>
        <w:t>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880DE1" w:rsidRPr="00880DE1" w:rsidRDefault="00915560"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w:t>
      </w:r>
      <w:r w:rsidR="00880DE1"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7880"/>
    <w:rsid w:val="0015116A"/>
    <w:rsid w:val="00153400"/>
    <w:rsid w:val="0018089C"/>
    <w:rsid w:val="00193F9F"/>
    <w:rsid w:val="001E613A"/>
    <w:rsid w:val="00201E23"/>
    <w:rsid w:val="002040D1"/>
    <w:rsid w:val="0025736F"/>
    <w:rsid w:val="00262650"/>
    <w:rsid w:val="002C053E"/>
    <w:rsid w:val="002C33F2"/>
    <w:rsid w:val="002D0311"/>
    <w:rsid w:val="002D10D5"/>
    <w:rsid w:val="002E44BB"/>
    <w:rsid w:val="002F55F3"/>
    <w:rsid w:val="00365207"/>
    <w:rsid w:val="0038004F"/>
    <w:rsid w:val="00411CAF"/>
    <w:rsid w:val="00412430"/>
    <w:rsid w:val="00412A82"/>
    <w:rsid w:val="004912EA"/>
    <w:rsid w:val="004D3C87"/>
    <w:rsid w:val="004F191B"/>
    <w:rsid w:val="00507BB5"/>
    <w:rsid w:val="00520085"/>
    <w:rsid w:val="00552E20"/>
    <w:rsid w:val="00586F3D"/>
    <w:rsid w:val="005C40E7"/>
    <w:rsid w:val="005D7E6C"/>
    <w:rsid w:val="005E26B1"/>
    <w:rsid w:val="006507F2"/>
    <w:rsid w:val="006A6155"/>
    <w:rsid w:val="006E408F"/>
    <w:rsid w:val="00717593"/>
    <w:rsid w:val="00741EBF"/>
    <w:rsid w:val="00754E80"/>
    <w:rsid w:val="007813C4"/>
    <w:rsid w:val="00782600"/>
    <w:rsid w:val="007A1D64"/>
    <w:rsid w:val="007B338C"/>
    <w:rsid w:val="007B5DB1"/>
    <w:rsid w:val="00806CE3"/>
    <w:rsid w:val="00833BC1"/>
    <w:rsid w:val="00843385"/>
    <w:rsid w:val="0085349E"/>
    <w:rsid w:val="00861D33"/>
    <w:rsid w:val="00880DE1"/>
    <w:rsid w:val="008E6984"/>
    <w:rsid w:val="008E770B"/>
    <w:rsid w:val="00915560"/>
    <w:rsid w:val="00915916"/>
    <w:rsid w:val="0091664F"/>
    <w:rsid w:val="00936D35"/>
    <w:rsid w:val="0095370A"/>
    <w:rsid w:val="009A356E"/>
    <w:rsid w:val="009A7977"/>
    <w:rsid w:val="00A01F96"/>
    <w:rsid w:val="00A5528F"/>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D3381B"/>
    <w:rsid w:val="00D560EE"/>
    <w:rsid w:val="00D73FB3"/>
    <w:rsid w:val="00D74B7A"/>
    <w:rsid w:val="00D93BF1"/>
    <w:rsid w:val="00DD1200"/>
    <w:rsid w:val="00E163BE"/>
    <w:rsid w:val="00E26FC2"/>
    <w:rsid w:val="00E8667C"/>
    <w:rsid w:val="00EB673A"/>
    <w:rsid w:val="00EC27A3"/>
    <w:rsid w:val="00EE58A2"/>
    <w:rsid w:val="00EF5261"/>
    <w:rsid w:val="00EF6D78"/>
    <w:rsid w:val="00F2464B"/>
    <w:rsid w:val="00F260E2"/>
    <w:rsid w:val="00F42209"/>
    <w:rsid w:val="00F4509D"/>
    <w:rsid w:val="00F67AE5"/>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kabildi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E8C3-F3CA-4C0A-99FD-5C469935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Барысхан Изетов</cp:lastModifiedBy>
  <cp:revision>3</cp:revision>
  <cp:lastPrinted>2022-07-11T09:01:00Z</cp:lastPrinted>
  <dcterms:created xsi:type="dcterms:W3CDTF">2022-07-19T09:38:00Z</dcterms:created>
  <dcterms:modified xsi:type="dcterms:W3CDTF">2022-07-20T05:19:00Z</dcterms:modified>
</cp:coreProperties>
</file>