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F70D1C" w:rsidRDefault="00F70D1C" w:rsidP="00F70D1C">
      <w:pPr>
        <w:ind w:firstLine="540"/>
        <w:rPr>
          <w:bCs w:val="0"/>
          <w:i w:val="0"/>
          <w:iCs w:val="0"/>
          <w:sz w:val="24"/>
          <w:szCs w:val="24"/>
        </w:rPr>
      </w:pPr>
      <w:r>
        <w:rPr>
          <w:bCs w:val="0"/>
          <w:i w:val="0"/>
          <w:iCs w:val="0"/>
          <w:sz w:val="24"/>
          <w:szCs w:val="24"/>
        </w:rPr>
        <w:t>для занятия вакантн</w:t>
      </w:r>
      <w:r>
        <w:rPr>
          <w:bCs w:val="0"/>
          <w:i w:val="0"/>
          <w:iCs w:val="0"/>
          <w:sz w:val="24"/>
          <w:szCs w:val="24"/>
          <w:lang w:val="kk-KZ"/>
        </w:rPr>
        <w:t>ых  и</w:t>
      </w:r>
      <w:r w:rsidR="00D4791F">
        <w:rPr>
          <w:bCs w:val="0"/>
          <w:i w:val="0"/>
          <w:iCs w:val="0"/>
          <w:sz w:val="24"/>
          <w:szCs w:val="24"/>
          <w:lang w:val="kk-KZ"/>
        </w:rPr>
        <w:t>ли</w:t>
      </w:r>
      <w:r>
        <w:rPr>
          <w:bCs w:val="0"/>
          <w:i w:val="0"/>
          <w:iCs w:val="0"/>
          <w:sz w:val="24"/>
          <w:szCs w:val="24"/>
          <w:lang w:val="kk-KZ"/>
        </w:rPr>
        <w:t xml:space="preserve"> временно вакантных </w:t>
      </w:r>
      <w:r>
        <w:rPr>
          <w:bCs w:val="0"/>
          <w:i w:val="0"/>
          <w:iCs w:val="0"/>
          <w:sz w:val="24"/>
          <w:szCs w:val="24"/>
        </w:rPr>
        <w:t>административн</w:t>
      </w:r>
      <w:r>
        <w:rPr>
          <w:bCs w:val="0"/>
          <w:i w:val="0"/>
          <w:iCs w:val="0"/>
          <w:sz w:val="24"/>
          <w:szCs w:val="24"/>
          <w:lang w:val="kk-KZ"/>
        </w:rPr>
        <w:t>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должност</w:t>
      </w:r>
      <w:r>
        <w:rPr>
          <w:bCs w:val="0"/>
          <w:i w:val="0"/>
          <w:iCs w:val="0"/>
          <w:sz w:val="24"/>
          <w:szCs w:val="24"/>
          <w:lang w:val="kk-KZ"/>
        </w:rPr>
        <w:t>ей, не являющихся низовыми,</w:t>
      </w:r>
      <w:r>
        <w:rPr>
          <w:bCs w:val="0"/>
          <w:i w:val="0"/>
          <w:iCs w:val="0"/>
          <w:sz w:val="24"/>
          <w:szCs w:val="24"/>
        </w:rPr>
        <w:t xml:space="preserve"> корпуса «Б» </w:t>
      </w:r>
    </w:p>
    <w:p w:rsidR="00F70D1C" w:rsidRDefault="00F70D1C" w:rsidP="00F70D1C">
      <w:pPr>
        <w:ind w:firstLine="284"/>
        <w:rPr>
          <w:i w:val="0"/>
          <w:sz w:val="24"/>
          <w:szCs w:val="24"/>
          <w:lang w:val="kk-KZ"/>
        </w:rPr>
      </w:pP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F70D1C" w:rsidRDefault="00F70D1C" w:rsidP="00F70D1C">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ых доходов по городу Нур-Султан</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w:t>
      </w:r>
      <w:bookmarkStart w:id="0" w:name="_GoBack"/>
      <w:bookmarkEnd w:id="0"/>
      <w:r w:rsidRPr="002204C8">
        <w:rPr>
          <w:i w:val="0"/>
          <w:sz w:val="24"/>
          <w:szCs w:val="24"/>
          <w:lang w:val="kk-KZ"/>
        </w:rPr>
        <w:t>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A57AC1" w:rsidRDefault="003720CE" w:rsidP="00C71CF5">
            <w:pPr>
              <w:keepNext/>
              <w:keepLines/>
              <w:tabs>
                <w:tab w:val="left" w:pos="132"/>
                <w:tab w:val="left" w:pos="6663"/>
              </w:tabs>
              <w:ind w:left="-1440" w:right="99" w:firstLine="1440"/>
              <w:rPr>
                <w:bCs w:val="0"/>
                <w:i w:val="0"/>
                <w:iCs w:val="0"/>
                <w:sz w:val="24"/>
                <w:szCs w:val="24"/>
                <w:lang w:val="kk-KZ"/>
              </w:rPr>
            </w:pPr>
            <w:r w:rsidRPr="00A57AC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A57AC1" w:rsidRDefault="00E53EAC" w:rsidP="00C71CF5">
            <w:pPr>
              <w:rPr>
                <w:bCs w:val="0"/>
                <w:i w:val="0"/>
                <w:iCs w:val="0"/>
                <w:sz w:val="24"/>
                <w:szCs w:val="24"/>
                <w:lang w:val="kk-KZ"/>
              </w:rPr>
            </w:pPr>
            <w:r w:rsidRPr="00A57AC1">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A57AC1" w:rsidRDefault="00F6157E" w:rsidP="00C71CF5">
            <w:pPr>
              <w:rPr>
                <w:bCs w:val="0"/>
                <w:i w:val="0"/>
                <w:iCs w:val="0"/>
                <w:sz w:val="24"/>
                <w:szCs w:val="24"/>
                <w:lang w:val="kk-KZ"/>
              </w:rPr>
            </w:pPr>
            <w:r w:rsidRPr="00A57AC1">
              <w:rPr>
                <w:i w:val="0"/>
                <w:sz w:val="24"/>
                <w:szCs w:val="24"/>
                <w:lang w:val="kk-KZ"/>
              </w:rPr>
              <w:t>229492</w:t>
            </w:r>
          </w:p>
        </w:tc>
      </w:tr>
    </w:tbl>
    <w:p w:rsidR="003720CE" w:rsidRPr="00A57AC1" w:rsidRDefault="003720CE" w:rsidP="003720CE">
      <w:pPr>
        <w:ind w:firstLine="708"/>
        <w:jc w:val="both"/>
        <w:rPr>
          <w:i w:val="0"/>
          <w:sz w:val="24"/>
          <w:szCs w:val="24"/>
        </w:rPr>
      </w:pPr>
    </w:p>
    <w:p w:rsidR="000A1595" w:rsidRPr="004C660C" w:rsidRDefault="00336787" w:rsidP="000A1595">
      <w:pPr>
        <w:ind w:firstLine="709"/>
        <w:jc w:val="both"/>
        <w:rPr>
          <w:bCs w:val="0"/>
          <w:i w:val="0"/>
          <w:iCs w:val="0"/>
          <w:sz w:val="24"/>
          <w:szCs w:val="22"/>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0B5132">
        <w:rPr>
          <w:bCs w:val="0"/>
          <w:i w:val="0"/>
          <w:iCs w:val="0"/>
          <w:sz w:val="24"/>
          <w:szCs w:val="24"/>
        </w:rPr>
        <w:t>Нур</w:t>
      </w:r>
      <w:r w:rsidR="006A58C4" w:rsidRPr="006A58C4">
        <w:rPr>
          <w:bCs w:val="0"/>
          <w:i w:val="0"/>
          <w:iCs w:val="0"/>
          <w:sz w:val="24"/>
          <w:szCs w:val="24"/>
        </w:rPr>
        <w:t>-Султан</w:t>
      </w:r>
      <w:r w:rsidRPr="00336787">
        <w:rPr>
          <w:bCs w:val="0"/>
          <w:i w:val="0"/>
          <w:iCs w:val="0"/>
          <w:sz w:val="24"/>
          <w:szCs w:val="24"/>
        </w:rPr>
        <w:t xml:space="preserve">, </w:t>
      </w:r>
      <w:r w:rsidR="000112BB">
        <w:rPr>
          <w:bCs w:val="0"/>
          <w:i w:val="0"/>
          <w:iCs w:val="0"/>
          <w:sz w:val="24"/>
          <w:szCs w:val="24"/>
          <w:lang w:val="kk-KZ"/>
        </w:rPr>
        <w:t xml:space="preserve">                             </w:t>
      </w:r>
      <w:r w:rsidRPr="00336787">
        <w:rPr>
          <w:bCs w:val="0"/>
          <w:i w:val="0"/>
          <w:iCs w:val="0"/>
          <w:sz w:val="24"/>
          <w:szCs w:val="24"/>
        </w:rPr>
        <w:t>ул</w:t>
      </w:r>
      <w:r w:rsidR="000112BB">
        <w:rPr>
          <w:bCs w:val="0"/>
          <w:i w:val="0"/>
          <w:iCs w:val="0"/>
          <w:sz w:val="24"/>
          <w:szCs w:val="24"/>
          <w:lang w:val="kk-KZ"/>
        </w:rPr>
        <w:t>.</w:t>
      </w:r>
      <w:r w:rsidRPr="00336787">
        <w:rPr>
          <w:bCs w:val="0"/>
          <w:i w:val="0"/>
          <w:iCs w:val="0"/>
          <w:sz w:val="24"/>
          <w:szCs w:val="24"/>
          <w:lang w:val="kk-KZ"/>
        </w:rPr>
        <w:t>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0112BB" w:rsidRPr="00D34F8B">
        <w:rPr>
          <w:rStyle w:val="a6"/>
          <w:rFonts w:ascii="Times New Roman" w:eastAsiaTheme="majorEastAsia" w:hAnsi="Times New Roman" w:cs="Times New Roman"/>
          <w:bCs w:val="0"/>
          <w:i w:val="0"/>
          <w:iCs w:val="0"/>
          <w:color w:val="7030A0"/>
          <w:sz w:val="28"/>
          <w:szCs w:val="28"/>
          <w:lang w:val="kk-KZ"/>
        </w:rPr>
        <w:fldChar w:fldCharType="begin"/>
      </w:r>
      <w:r w:rsidR="000112BB" w:rsidRPr="00D34F8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0112BB" w:rsidRPr="00D34F8B">
        <w:rPr>
          <w:rStyle w:val="a6"/>
          <w:rFonts w:ascii="Times New Roman" w:eastAsiaTheme="majorEastAsia" w:hAnsi="Times New Roman" w:cs="Times New Roman"/>
          <w:bCs w:val="0"/>
          <w:i w:val="0"/>
          <w:iCs w:val="0"/>
          <w:color w:val="7030A0"/>
          <w:sz w:val="28"/>
          <w:szCs w:val="28"/>
          <w:lang w:val="kk-KZ"/>
        </w:rPr>
        <w:fldChar w:fldCharType="separate"/>
      </w:r>
      <w:r w:rsidR="000112BB" w:rsidRPr="00D34F8B">
        <w:rPr>
          <w:rStyle w:val="a6"/>
          <w:rFonts w:ascii="Times New Roman" w:eastAsiaTheme="majorEastAsia" w:hAnsi="Times New Roman" w:cs="Times New Roman"/>
          <w:bCs w:val="0"/>
          <w:i w:val="0"/>
          <w:iCs w:val="0"/>
          <w:color w:val="7030A0"/>
          <w:sz w:val="28"/>
          <w:szCs w:val="28"/>
          <w:lang w:val="kk-KZ"/>
        </w:rPr>
        <w:t>a.rakhimbekova@kgd.gov.kz</w:t>
      </w:r>
      <w:r w:rsidR="000112BB" w:rsidRPr="00D34F8B">
        <w:rPr>
          <w:rStyle w:val="a6"/>
          <w:rFonts w:ascii="Times New Roman" w:eastAsiaTheme="majorEastAsia" w:hAnsi="Times New Roman" w:cs="Times New Roman"/>
          <w:bCs w:val="0"/>
          <w:i w:val="0"/>
          <w:iCs w:val="0"/>
          <w:color w:val="7030A0"/>
          <w:sz w:val="28"/>
          <w:szCs w:val="28"/>
          <w:lang w:val="kk-KZ"/>
        </w:rPr>
        <w:fldChar w:fldCharType="end"/>
      </w:r>
      <w:r w:rsidR="000112BB" w:rsidRPr="00D34F8B">
        <w:rPr>
          <w:rStyle w:val="a6"/>
          <w:rFonts w:ascii="Times New Roman" w:eastAsiaTheme="majorEastAsia" w:hAnsi="Times New Roman" w:cs="Times New Roman"/>
          <w:bCs w:val="0"/>
          <w:i w:val="0"/>
          <w:iCs w:val="0"/>
          <w:color w:val="7030A0"/>
          <w:sz w:val="28"/>
          <w:szCs w:val="28"/>
          <w:lang w:val="kk-KZ"/>
        </w:rPr>
        <w:t xml:space="preserve">,  </w:t>
      </w:r>
      <w:hyperlink r:id="rId7" w:history="1">
        <w:r w:rsidR="000112BB" w:rsidRPr="00D34F8B">
          <w:rPr>
            <w:rStyle w:val="a6"/>
            <w:rFonts w:ascii="Times New Roman" w:eastAsiaTheme="majorEastAsia" w:hAnsi="Times New Roman" w:cs="Times New Roman"/>
            <w:bCs w:val="0"/>
            <w:i w:val="0"/>
            <w:iCs w:val="0"/>
            <w:color w:val="7030A0"/>
            <w:sz w:val="28"/>
            <w:szCs w:val="28"/>
            <w:lang w:val="kk-KZ"/>
          </w:rPr>
          <w:t>n.syzdygalina@kgd.gov.kz</w:t>
        </w:r>
      </w:hyperlink>
      <w:r w:rsidR="000A1595">
        <w:rPr>
          <w:rStyle w:val="a6"/>
          <w:rFonts w:ascii="Times New Roman" w:eastAsiaTheme="majorEastAsia" w:hAnsi="Times New Roman" w:cs="Times New Roman"/>
          <w:bCs w:val="0"/>
          <w:i w:val="0"/>
          <w:iCs w:val="0"/>
          <w:color w:val="7030A0"/>
          <w:sz w:val="28"/>
          <w:szCs w:val="28"/>
          <w:lang w:val="kk-KZ"/>
        </w:rPr>
        <w:t xml:space="preserve">  </w:t>
      </w:r>
      <w:r w:rsidR="000A1595" w:rsidRPr="004C660C">
        <w:rPr>
          <w:bCs w:val="0"/>
          <w:i w:val="0"/>
          <w:iCs w:val="0"/>
          <w:sz w:val="24"/>
          <w:szCs w:val="22"/>
        </w:rPr>
        <w:t>объявляет общий конкурс для занятия вакантной</w:t>
      </w:r>
      <w:r w:rsidR="000A1595" w:rsidRPr="004C660C">
        <w:rPr>
          <w:bCs w:val="0"/>
          <w:iCs w:val="0"/>
          <w:szCs w:val="22"/>
        </w:rPr>
        <w:t xml:space="preserve"> </w:t>
      </w:r>
      <w:r w:rsidR="000A1595" w:rsidRPr="004C660C">
        <w:rPr>
          <w:bCs w:val="0"/>
          <w:i w:val="0"/>
          <w:iCs w:val="0"/>
          <w:sz w:val="24"/>
          <w:szCs w:val="22"/>
        </w:rPr>
        <w:t>или временно вакантной</w:t>
      </w:r>
      <w:r w:rsidR="000A1595" w:rsidRPr="004C660C">
        <w:rPr>
          <w:bCs w:val="0"/>
          <w:iCs w:val="0"/>
          <w:szCs w:val="22"/>
        </w:rPr>
        <w:t xml:space="preserve"> </w:t>
      </w:r>
      <w:r w:rsidR="000A1595" w:rsidRPr="004C660C">
        <w:rPr>
          <w:bCs w:val="0"/>
          <w:i w:val="0"/>
          <w:iCs w:val="0"/>
          <w:sz w:val="24"/>
          <w:szCs w:val="22"/>
        </w:rPr>
        <w:t>административной государственной административной государственной должности корпуса «Б»:</w:t>
      </w:r>
    </w:p>
    <w:p w:rsidR="000112BB" w:rsidRPr="00B7395C" w:rsidRDefault="000112BB" w:rsidP="00336787">
      <w:pPr>
        <w:ind w:firstLine="708"/>
        <w:jc w:val="both"/>
        <w:rPr>
          <w:rStyle w:val="a6"/>
          <w:rFonts w:ascii="Times New Roman" w:eastAsiaTheme="majorEastAsia" w:hAnsi="Times New Roman" w:cs="Times New Roman"/>
          <w:bCs w:val="0"/>
          <w:i w:val="0"/>
          <w:iCs w:val="0"/>
          <w:color w:val="7030A0"/>
          <w:sz w:val="28"/>
          <w:szCs w:val="28"/>
          <w:lang w:val="kk-KZ"/>
        </w:rPr>
      </w:pPr>
    </w:p>
    <w:p w:rsidR="00AE76C9" w:rsidRDefault="00AE76C9" w:rsidP="00AE76C9">
      <w:pPr>
        <w:ind w:firstLine="708"/>
        <w:jc w:val="both"/>
        <w:rPr>
          <w:i w:val="0"/>
          <w:color w:val="000000"/>
          <w:sz w:val="24"/>
          <w:szCs w:val="24"/>
          <w:lang w:val="kk-KZ"/>
        </w:rPr>
      </w:pPr>
      <w:r>
        <w:rPr>
          <w:i w:val="0"/>
          <w:color w:val="000000"/>
          <w:sz w:val="24"/>
          <w:szCs w:val="24"/>
          <w:lang w:val="kk-KZ"/>
        </w:rPr>
        <w:t xml:space="preserve">1. </w:t>
      </w:r>
      <w:r w:rsidRPr="006A58C4">
        <w:rPr>
          <w:i w:val="0"/>
          <w:color w:val="000000"/>
          <w:sz w:val="24"/>
          <w:szCs w:val="24"/>
          <w:lang w:val="kk-KZ"/>
        </w:rPr>
        <w:t xml:space="preserve">Главный специалист </w:t>
      </w:r>
      <w:r>
        <w:rPr>
          <w:i w:val="0"/>
          <w:color w:val="000000"/>
          <w:sz w:val="24"/>
          <w:szCs w:val="24"/>
          <w:lang w:val="en-US"/>
        </w:rPr>
        <w:t>O</w:t>
      </w:r>
      <w:r>
        <w:rPr>
          <w:i w:val="0"/>
          <w:color w:val="000000"/>
          <w:sz w:val="24"/>
          <w:szCs w:val="24"/>
          <w:lang w:val="kk-KZ"/>
        </w:rPr>
        <w:t xml:space="preserve">тдела </w:t>
      </w:r>
      <w:r w:rsidRPr="00FC4D12">
        <w:rPr>
          <w:i w:val="0"/>
          <w:color w:val="000000"/>
          <w:sz w:val="24"/>
          <w:szCs w:val="24"/>
          <w:lang w:val="kk-KZ"/>
        </w:rPr>
        <w:t>администрирования косвенных налогов</w:t>
      </w:r>
      <w:r w:rsidRPr="00B7395C">
        <w:rPr>
          <w:bCs w:val="0"/>
          <w:i w:val="0"/>
          <w:sz w:val="24"/>
          <w:szCs w:val="20"/>
          <w:lang w:val="kk-KZ"/>
        </w:rPr>
        <w:t>,</w:t>
      </w:r>
      <w:r w:rsidRPr="006E0C15">
        <w:rPr>
          <w:bCs w:val="0"/>
          <w:i w:val="0"/>
          <w:sz w:val="24"/>
          <w:szCs w:val="20"/>
          <w:lang w:val="kk-KZ"/>
        </w:rPr>
        <w:t xml:space="preserve"> </w:t>
      </w:r>
      <w:r>
        <w:rPr>
          <w:i w:val="0"/>
          <w:color w:val="000000"/>
          <w:sz w:val="24"/>
          <w:szCs w:val="24"/>
          <w:lang w:val="kk-KZ"/>
        </w:rPr>
        <w:t>категория С-R-4, функциональный блок «А</w:t>
      </w:r>
      <w:r w:rsidRPr="00387EA0">
        <w:rPr>
          <w:i w:val="0"/>
          <w:color w:val="000000"/>
          <w:sz w:val="24"/>
          <w:szCs w:val="24"/>
          <w:lang w:val="kk-KZ"/>
        </w:rPr>
        <w:t xml:space="preserve">» </w:t>
      </w:r>
      <w:r>
        <w:rPr>
          <w:i w:val="0"/>
          <w:color w:val="000000"/>
          <w:sz w:val="24"/>
          <w:szCs w:val="24"/>
          <w:lang w:val="kk-KZ"/>
        </w:rPr>
        <w:t>(1 единица</w:t>
      </w:r>
      <w:r>
        <w:rPr>
          <w:i w:val="0"/>
          <w:color w:val="000000"/>
          <w:sz w:val="24"/>
          <w:szCs w:val="24"/>
        </w:rPr>
        <w:t>)</w:t>
      </w:r>
      <w:r w:rsidRPr="00A51CE8">
        <w:rPr>
          <w:i w:val="0"/>
          <w:color w:val="000000"/>
          <w:sz w:val="24"/>
          <w:szCs w:val="24"/>
          <w:lang w:val="kk-KZ"/>
        </w:rPr>
        <w:t xml:space="preserve">  </w:t>
      </w:r>
    </w:p>
    <w:p w:rsidR="00AE76C9" w:rsidRPr="00745B71" w:rsidRDefault="00AE76C9" w:rsidP="00AE76C9">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745B71">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w:t>
      </w:r>
      <w:r w:rsidRPr="00745B71">
        <w:rPr>
          <w:b w:val="0"/>
          <w:i w:val="0"/>
          <w:color w:val="000000"/>
          <w:sz w:val="24"/>
          <w:szCs w:val="24"/>
          <w:lang w:val="kk-KZ"/>
        </w:rPr>
        <w:lastRenderedPageBreak/>
        <w:t>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AE76C9" w:rsidRPr="001E7831" w:rsidRDefault="00AE76C9" w:rsidP="00AE76C9">
      <w:pPr>
        <w:ind w:firstLine="708"/>
        <w:jc w:val="both"/>
        <w:rPr>
          <w:b w:val="0"/>
          <w:color w:val="000000"/>
          <w:sz w:val="24"/>
          <w:szCs w:val="24"/>
          <w:lang w:val="kk-KZ"/>
        </w:rPr>
      </w:pPr>
      <w:r w:rsidRPr="001E7831">
        <w:rPr>
          <w:b w:val="0"/>
          <w:color w:val="000000"/>
          <w:sz w:val="24"/>
          <w:szCs w:val="24"/>
          <w:lang w:val="kk-KZ"/>
        </w:rPr>
        <w:t>Согласно штатному расписанию данная должность относится к функциональному блоку "А".</w:t>
      </w:r>
    </w:p>
    <w:p w:rsidR="00AE76C9" w:rsidRDefault="00AE76C9" w:rsidP="00AE76C9">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314AAE" w:rsidRDefault="00314AAE" w:rsidP="00314AAE">
      <w:pPr>
        <w:ind w:firstLine="708"/>
        <w:jc w:val="both"/>
        <w:rPr>
          <w:b w:val="0"/>
          <w:i w:val="0"/>
          <w:sz w:val="24"/>
          <w:szCs w:val="24"/>
          <w:highlight w:val="yellow"/>
          <w:lang w:val="kk-KZ"/>
        </w:rPr>
      </w:pPr>
    </w:p>
    <w:p w:rsidR="00314AAE" w:rsidRDefault="00314AAE" w:rsidP="00314AAE">
      <w:pPr>
        <w:ind w:firstLine="708"/>
        <w:jc w:val="both"/>
        <w:rPr>
          <w:b w:val="0"/>
          <w:i w:val="0"/>
          <w:sz w:val="24"/>
          <w:szCs w:val="24"/>
          <w:lang w:val="kk-KZ"/>
        </w:rPr>
      </w:pPr>
      <w:r w:rsidRPr="00C15264">
        <w:rPr>
          <w:i w:val="0"/>
          <w:sz w:val="24"/>
          <w:szCs w:val="24"/>
          <w:highlight w:val="yellow"/>
          <w:lang w:val="kk-KZ"/>
        </w:rPr>
        <w:t>Прием документов:</w:t>
      </w:r>
      <w:r>
        <w:rPr>
          <w:b w:val="0"/>
          <w:i w:val="0"/>
          <w:sz w:val="24"/>
          <w:szCs w:val="24"/>
          <w:highlight w:val="yellow"/>
          <w:lang w:val="kk-KZ"/>
        </w:rPr>
        <w:t xml:space="preserve"> </w:t>
      </w:r>
      <w:r w:rsidR="00AE76C9" w:rsidRPr="00AE76C9">
        <w:rPr>
          <w:i w:val="0"/>
          <w:sz w:val="24"/>
          <w:szCs w:val="24"/>
          <w:highlight w:val="yellow"/>
          <w:lang w:val="kk-KZ"/>
        </w:rPr>
        <w:t>04</w:t>
      </w:r>
      <w:r w:rsidR="00C15264" w:rsidRPr="00AE76C9">
        <w:rPr>
          <w:i w:val="0"/>
          <w:color w:val="000000"/>
          <w:sz w:val="24"/>
          <w:szCs w:val="24"/>
          <w:highlight w:val="yellow"/>
          <w:lang w:val="kk-KZ"/>
        </w:rPr>
        <w:t>.</w:t>
      </w:r>
      <w:r w:rsidR="00C15264" w:rsidRPr="00C15264">
        <w:rPr>
          <w:i w:val="0"/>
          <w:color w:val="000000"/>
          <w:sz w:val="24"/>
          <w:szCs w:val="24"/>
          <w:highlight w:val="yellow"/>
          <w:lang w:val="kk-KZ"/>
        </w:rPr>
        <w:t>1</w:t>
      </w:r>
      <w:r w:rsidR="00AE76C9">
        <w:rPr>
          <w:i w:val="0"/>
          <w:color w:val="000000"/>
          <w:sz w:val="24"/>
          <w:szCs w:val="24"/>
          <w:highlight w:val="yellow"/>
          <w:lang w:val="kk-KZ"/>
        </w:rPr>
        <w:t>1</w:t>
      </w:r>
      <w:r w:rsidR="00C15264" w:rsidRPr="00C15264">
        <w:rPr>
          <w:i w:val="0"/>
          <w:color w:val="000000"/>
          <w:sz w:val="24"/>
          <w:szCs w:val="24"/>
          <w:highlight w:val="yellow"/>
          <w:lang w:val="kk-KZ"/>
        </w:rPr>
        <w:t>.2022-</w:t>
      </w:r>
      <w:r w:rsidR="00AE76C9">
        <w:rPr>
          <w:i w:val="0"/>
          <w:color w:val="000000"/>
          <w:sz w:val="24"/>
          <w:szCs w:val="24"/>
          <w:highlight w:val="yellow"/>
          <w:lang w:val="kk-KZ"/>
        </w:rPr>
        <w:t>14</w:t>
      </w:r>
      <w:r w:rsidR="00C15264" w:rsidRPr="00C15264">
        <w:rPr>
          <w:i w:val="0"/>
          <w:color w:val="000000"/>
          <w:sz w:val="24"/>
          <w:szCs w:val="24"/>
          <w:highlight w:val="yellow"/>
          <w:lang w:val="kk-KZ"/>
        </w:rPr>
        <w:t>.1</w:t>
      </w:r>
      <w:r w:rsidR="00AE76C9">
        <w:rPr>
          <w:i w:val="0"/>
          <w:color w:val="000000"/>
          <w:sz w:val="24"/>
          <w:szCs w:val="24"/>
          <w:highlight w:val="yellow"/>
          <w:lang w:val="kk-KZ"/>
        </w:rPr>
        <w:t>1</w:t>
      </w:r>
      <w:r w:rsidR="00C15264" w:rsidRPr="00C15264">
        <w:rPr>
          <w:i w:val="0"/>
          <w:color w:val="000000"/>
          <w:sz w:val="24"/>
          <w:szCs w:val="24"/>
          <w:highlight w:val="yellow"/>
          <w:lang w:val="kk-KZ"/>
        </w:rPr>
        <w:t>.2022</w:t>
      </w:r>
      <w:r w:rsidRPr="009F5D52">
        <w:rPr>
          <w:b w:val="0"/>
          <w:i w:val="0"/>
          <w:sz w:val="24"/>
          <w:szCs w:val="24"/>
          <w:highlight w:val="yellow"/>
          <w:lang w:val="kk-KZ"/>
        </w:rPr>
        <w:t>гг.</w:t>
      </w:r>
    </w:p>
    <w:p w:rsidR="006357D0" w:rsidRDefault="006357D0" w:rsidP="005F6304">
      <w:pPr>
        <w:ind w:firstLine="708"/>
        <w:jc w:val="both"/>
        <w:rPr>
          <w:b w:val="0"/>
          <w:i w:val="0"/>
          <w:sz w:val="24"/>
          <w:szCs w:val="24"/>
          <w:lang w:val="kk-KZ"/>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B38CD" w:rsidRPr="00E26A0C" w:rsidRDefault="009B38CD" w:rsidP="009B38CD">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B38CD" w:rsidRPr="001C7BA2" w:rsidRDefault="009B38CD" w:rsidP="009B38CD">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B38CD" w:rsidRPr="001C7BA2" w:rsidRDefault="009B38CD" w:rsidP="009B38CD">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B38CD" w:rsidRPr="001C7BA2" w:rsidRDefault="009B38CD" w:rsidP="009B38CD">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B38CD" w:rsidRPr="001C7BA2" w:rsidRDefault="009B38CD" w:rsidP="009B38CD">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B38CD" w:rsidRPr="001C7BA2" w:rsidRDefault="009B38CD" w:rsidP="009B38CD">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9B38CD">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B38CD" w:rsidRPr="001C7BA2" w:rsidRDefault="009B38CD" w:rsidP="009B38CD">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B38CD" w:rsidRPr="001C7BA2" w:rsidRDefault="009B38CD" w:rsidP="009B38CD">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lastRenderedPageBreak/>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B38CD" w:rsidRDefault="009B38CD" w:rsidP="009B38CD">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B38CD" w:rsidRDefault="009B38CD" w:rsidP="009B38CD">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38CD" w:rsidRPr="001C7BA2" w:rsidRDefault="009B38CD" w:rsidP="009B38CD">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B38CD" w:rsidRPr="001C7BA2" w:rsidRDefault="009B38CD" w:rsidP="009B38CD">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38CD" w:rsidRPr="001C7BA2" w:rsidRDefault="009B38CD" w:rsidP="009B38CD">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B38CD" w:rsidRPr="001C7BA2" w:rsidRDefault="009B38CD" w:rsidP="009B38CD">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B38CD" w:rsidRPr="001C7BA2" w:rsidRDefault="009B38CD" w:rsidP="009B38CD">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9B38CD" w:rsidRPr="00943028" w:rsidRDefault="009B38CD" w:rsidP="009B38CD">
      <w:pPr>
        <w:widowControl/>
        <w:tabs>
          <w:tab w:val="left" w:pos="578"/>
        </w:tabs>
        <w:ind w:left="5670"/>
        <w:jc w:val="both"/>
        <w:rPr>
          <w:b w:val="0"/>
          <w:bCs w:val="0"/>
          <w:i w:val="0"/>
          <w:iCs w:val="0"/>
          <w:color w:val="000000"/>
          <w:sz w:val="24"/>
          <w:szCs w:val="24"/>
        </w:rPr>
      </w:pPr>
    </w:p>
    <w:p w:rsidR="009B38CD" w:rsidRDefault="009B38CD" w:rsidP="009B38CD">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Приложение 2</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B38CD" w:rsidRDefault="009B38CD" w:rsidP="009B38CD">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B38CD" w:rsidRDefault="009B38CD" w:rsidP="009B38CD">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B38CD" w:rsidRDefault="009B38CD" w:rsidP="009B38CD">
      <w:pPr>
        <w:widowControl/>
        <w:tabs>
          <w:tab w:val="left" w:pos="578"/>
        </w:tabs>
        <w:ind w:firstLine="317"/>
        <w:rPr>
          <w:b w:val="0"/>
          <w:bCs w:val="0"/>
          <w:i w:val="0"/>
          <w:iCs w:val="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B38CD" w:rsidRDefault="009B38CD" w:rsidP="009B38CD">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B84731">
      <w:pPr>
        <w:widowControl/>
        <w:tabs>
          <w:tab w:val="left" w:pos="578"/>
          <w:tab w:val="right" w:pos="9639"/>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r w:rsidR="00B84731">
        <w:rPr>
          <w:b w:val="0"/>
          <w:bCs w:val="0"/>
          <w:i w:val="0"/>
          <w:iCs w:val="0"/>
          <w:color w:val="000000"/>
          <w:sz w:val="24"/>
          <w:szCs w:val="24"/>
        </w:rPr>
        <w:tab/>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B38CD" w:rsidRDefault="009B38CD" w:rsidP="009B38CD">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317"/>
        <w:jc w:val="left"/>
        <w:rPr>
          <w:b w:val="0"/>
          <w:bCs w:val="0"/>
          <w:i w:val="0"/>
          <w:iCs w:val="0"/>
          <w:color w:val="000000"/>
          <w:sz w:val="24"/>
          <w:szCs w:val="24"/>
        </w:rPr>
      </w:pPr>
    </w:p>
    <w:p w:rsidR="009B38CD" w:rsidRDefault="009B38CD" w:rsidP="009B38CD">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B38CD" w:rsidRDefault="009B38CD" w:rsidP="009B38CD">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B38CD" w:rsidRDefault="009B38CD" w:rsidP="009B38CD">
      <w:pPr>
        <w:widowControl/>
        <w:jc w:val="right"/>
        <w:rPr>
          <w:b w:val="0"/>
          <w:bCs w:val="0"/>
          <w:i w:val="0"/>
          <w:iCs w:val="0"/>
          <w:color w:val="000000"/>
          <w:sz w:val="24"/>
          <w:szCs w:val="24"/>
        </w:rPr>
      </w:pPr>
    </w:p>
    <w:p w:rsidR="009B38CD" w:rsidRDefault="009B38CD" w:rsidP="009B38CD">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B38CD" w:rsidRDefault="009B38CD" w:rsidP="009B38CD">
      <w:pPr>
        <w:widowControl/>
        <w:jc w:val="right"/>
        <w:rPr>
          <w:b w:val="0"/>
          <w:bCs w:val="0"/>
          <w:i w:val="0"/>
          <w:iCs w:val="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BE" w:rsidRDefault="00430CBE">
      <w:r>
        <w:separator/>
      </w:r>
    </w:p>
  </w:endnote>
  <w:endnote w:type="continuationSeparator" w:id="0">
    <w:p w:rsidR="00430CBE" w:rsidRDefault="0043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BE" w:rsidRDefault="00430CBE">
      <w:r>
        <w:separator/>
      </w:r>
    </w:p>
  </w:footnote>
  <w:footnote w:type="continuationSeparator" w:id="0">
    <w:p w:rsidR="00430CBE" w:rsidRDefault="0043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430CBE"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42342D"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35B7B"/>
    <w:rsid w:val="000427AC"/>
    <w:rsid w:val="000427E2"/>
    <w:rsid w:val="000479B8"/>
    <w:rsid w:val="00054A12"/>
    <w:rsid w:val="00056456"/>
    <w:rsid w:val="00071A55"/>
    <w:rsid w:val="000863F7"/>
    <w:rsid w:val="000A1595"/>
    <w:rsid w:val="000B5132"/>
    <w:rsid w:val="000B638C"/>
    <w:rsid w:val="000C04B5"/>
    <w:rsid w:val="000E46D5"/>
    <w:rsid w:val="000F0F3E"/>
    <w:rsid w:val="00122C0D"/>
    <w:rsid w:val="001365DD"/>
    <w:rsid w:val="00137854"/>
    <w:rsid w:val="0015103E"/>
    <w:rsid w:val="00151097"/>
    <w:rsid w:val="00156665"/>
    <w:rsid w:val="001823B0"/>
    <w:rsid w:val="00193083"/>
    <w:rsid w:val="001A7478"/>
    <w:rsid w:val="001B25D4"/>
    <w:rsid w:val="001C0E34"/>
    <w:rsid w:val="002016BC"/>
    <w:rsid w:val="00210649"/>
    <w:rsid w:val="002136FA"/>
    <w:rsid w:val="002204C8"/>
    <w:rsid w:val="00221F77"/>
    <w:rsid w:val="002259B2"/>
    <w:rsid w:val="002319D9"/>
    <w:rsid w:val="00235AE5"/>
    <w:rsid w:val="0024754D"/>
    <w:rsid w:val="00271FE1"/>
    <w:rsid w:val="00294FA7"/>
    <w:rsid w:val="002C2802"/>
    <w:rsid w:val="002D0311"/>
    <w:rsid w:val="002E000E"/>
    <w:rsid w:val="002F6F2B"/>
    <w:rsid w:val="003027A0"/>
    <w:rsid w:val="00305B45"/>
    <w:rsid w:val="00314AAE"/>
    <w:rsid w:val="003169E1"/>
    <w:rsid w:val="00336787"/>
    <w:rsid w:val="003509B1"/>
    <w:rsid w:val="00371147"/>
    <w:rsid w:val="003720CE"/>
    <w:rsid w:val="00377320"/>
    <w:rsid w:val="00387EA0"/>
    <w:rsid w:val="00394A5A"/>
    <w:rsid w:val="00395962"/>
    <w:rsid w:val="003C533A"/>
    <w:rsid w:val="003E35A5"/>
    <w:rsid w:val="0042342D"/>
    <w:rsid w:val="00430CBE"/>
    <w:rsid w:val="00472FA8"/>
    <w:rsid w:val="00481D2C"/>
    <w:rsid w:val="004C41C4"/>
    <w:rsid w:val="004D0E57"/>
    <w:rsid w:val="004D14B7"/>
    <w:rsid w:val="004D335B"/>
    <w:rsid w:val="004E1692"/>
    <w:rsid w:val="004F5C86"/>
    <w:rsid w:val="00500D2B"/>
    <w:rsid w:val="00537380"/>
    <w:rsid w:val="00547126"/>
    <w:rsid w:val="00563B63"/>
    <w:rsid w:val="00583838"/>
    <w:rsid w:val="005854AE"/>
    <w:rsid w:val="00596A33"/>
    <w:rsid w:val="005B33C0"/>
    <w:rsid w:val="005B46BF"/>
    <w:rsid w:val="005B48AF"/>
    <w:rsid w:val="005C7324"/>
    <w:rsid w:val="005F6304"/>
    <w:rsid w:val="00611433"/>
    <w:rsid w:val="0063133D"/>
    <w:rsid w:val="006357D0"/>
    <w:rsid w:val="00635D7C"/>
    <w:rsid w:val="0064187E"/>
    <w:rsid w:val="00643D29"/>
    <w:rsid w:val="00655400"/>
    <w:rsid w:val="00683286"/>
    <w:rsid w:val="006A0C90"/>
    <w:rsid w:val="006A27D8"/>
    <w:rsid w:val="006A58C4"/>
    <w:rsid w:val="006B4ED9"/>
    <w:rsid w:val="006B6052"/>
    <w:rsid w:val="006D20A5"/>
    <w:rsid w:val="006E0998"/>
    <w:rsid w:val="006E0C15"/>
    <w:rsid w:val="00720EDA"/>
    <w:rsid w:val="00741660"/>
    <w:rsid w:val="00745B71"/>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5792E"/>
    <w:rsid w:val="00866FF8"/>
    <w:rsid w:val="008734AD"/>
    <w:rsid w:val="00873887"/>
    <w:rsid w:val="00896EB2"/>
    <w:rsid w:val="008A1C42"/>
    <w:rsid w:val="008A31FC"/>
    <w:rsid w:val="008A325A"/>
    <w:rsid w:val="008B1A2B"/>
    <w:rsid w:val="008C2EB0"/>
    <w:rsid w:val="008F2E70"/>
    <w:rsid w:val="009024F2"/>
    <w:rsid w:val="00903F3F"/>
    <w:rsid w:val="009108B9"/>
    <w:rsid w:val="009108F6"/>
    <w:rsid w:val="00913D61"/>
    <w:rsid w:val="00927940"/>
    <w:rsid w:val="009302BC"/>
    <w:rsid w:val="009359A9"/>
    <w:rsid w:val="009620C2"/>
    <w:rsid w:val="00981B70"/>
    <w:rsid w:val="00982FFD"/>
    <w:rsid w:val="009A32A7"/>
    <w:rsid w:val="009B38CD"/>
    <w:rsid w:val="009B6C98"/>
    <w:rsid w:val="009F5D52"/>
    <w:rsid w:val="00A061E8"/>
    <w:rsid w:val="00A14C7E"/>
    <w:rsid w:val="00A361F4"/>
    <w:rsid w:val="00A37B75"/>
    <w:rsid w:val="00A4035D"/>
    <w:rsid w:val="00A51CE8"/>
    <w:rsid w:val="00A57AC1"/>
    <w:rsid w:val="00A70908"/>
    <w:rsid w:val="00A806C2"/>
    <w:rsid w:val="00A81ED8"/>
    <w:rsid w:val="00A91003"/>
    <w:rsid w:val="00A97E37"/>
    <w:rsid w:val="00AA4EF3"/>
    <w:rsid w:val="00AC6626"/>
    <w:rsid w:val="00AE52DC"/>
    <w:rsid w:val="00AE76C9"/>
    <w:rsid w:val="00AF0FCC"/>
    <w:rsid w:val="00AF3298"/>
    <w:rsid w:val="00AF724D"/>
    <w:rsid w:val="00B11C59"/>
    <w:rsid w:val="00B7395C"/>
    <w:rsid w:val="00B81F03"/>
    <w:rsid w:val="00B84731"/>
    <w:rsid w:val="00BA5408"/>
    <w:rsid w:val="00BD609B"/>
    <w:rsid w:val="00BE5127"/>
    <w:rsid w:val="00BE72A1"/>
    <w:rsid w:val="00BF70A4"/>
    <w:rsid w:val="00C0626D"/>
    <w:rsid w:val="00C1348A"/>
    <w:rsid w:val="00C15264"/>
    <w:rsid w:val="00C253A6"/>
    <w:rsid w:val="00C44E2A"/>
    <w:rsid w:val="00C705BB"/>
    <w:rsid w:val="00C85E9F"/>
    <w:rsid w:val="00CA0168"/>
    <w:rsid w:val="00CA1749"/>
    <w:rsid w:val="00CC2A8B"/>
    <w:rsid w:val="00CC4735"/>
    <w:rsid w:val="00CF59DE"/>
    <w:rsid w:val="00D02B61"/>
    <w:rsid w:val="00D15DD3"/>
    <w:rsid w:val="00D3381B"/>
    <w:rsid w:val="00D34F8B"/>
    <w:rsid w:val="00D4791F"/>
    <w:rsid w:val="00D61C73"/>
    <w:rsid w:val="00D80259"/>
    <w:rsid w:val="00DA23D5"/>
    <w:rsid w:val="00DA4D25"/>
    <w:rsid w:val="00DB469E"/>
    <w:rsid w:val="00DD1CB7"/>
    <w:rsid w:val="00DD5A18"/>
    <w:rsid w:val="00DF2EF1"/>
    <w:rsid w:val="00E0578F"/>
    <w:rsid w:val="00E27AF7"/>
    <w:rsid w:val="00E53EAC"/>
    <w:rsid w:val="00E576BB"/>
    <w:rsid w:val="00E578FE"/>
    <w:rsid w:val="00E706EA"/>
    <w:rsid w:val="00E71552"/>
    <w:rsid w:val="00E8602F"/>
    <w:rsid w:val="00EA00E8"/>
    <w:rsid w:val="00EA2066"/>
    <w:rsid w:val="00F059F0"/>
    <w:rsid w:val="00F338D3"/>
    <w:rsid w:val="00F35EE3"/>
    <w:rsid w:val="00F47174"/>
    <w:rsid w:val="00F60DEB"/>
    <w:rsid w:val="00F6157E"/>
    <w:rsid w:val="00F70D1C"/>
    <w:rsid w:val="00F75940"/>
    <w:rsid w:val="00F8153D"/>
    <w:rsid w:val="00FA2424"/>
    <w:rsid w:val="00FA7112"/>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36C81"/>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FD29-25C0-4988-9BA9-6CEA7F4A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2492</Words>
  <Characters>14207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2022-07-26T10:46:00Z</cp:lastPrinted>
  <dcterms:created xsi:type="dcterms:W3CDTF">2022-11-02T10:18:00Z</dcterms:created>
  <dcterms:modified xsi:type="dcterms:W3CDTF">2022-11-02T10:22:00Z</dcterms:modified>
</cp:coreProperties>
</file>