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бос </w:t>
      </w:r>
      <w:r w:rsidR="00552E20" w:rsidRPr="00552E20">
        <w:rPr>
          <w:i w:val="0"/>
          <w:lang w:val="kk-KZ"/>
        </w:rPr>
        <w:t xml:space="preserve">және уақытша бос </w:t>
      </w:r>
      <w:r w:rsidRPr="001E613A">
        <w:rPr>
          <w:i w:val="0"/>
          <w:lang w:val="kk-KZ"/>
        </w:rPr>
        <w:t>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bCs w:val="0"/>
          <w:i w:val="0"/>
          <w:iCs w:val="0"/>
          <w:sz w:val="24"/>
          <w:szCs w:val="24"/>
          <w:u w:val="single"/>
          <w:lang w:val="kk-KZ"/>
        </w:rPr>
        <w:t>e-mail</w:t>
      </w:r>
      <w:r w:rsidR="008765CE" w:rsidRPr="00336787">
        <w:rPr>
          <w:bCs w:val="0"/>
          <w:i w:val="0"/>
          <w:iCs w:val="0"/>
          <w:sz w:val="24"/>
          <w:szCs w:val="24"/>
          <w:u w:val="single"/>
          <w:lang w:val="kk-KZ"/>
        </w:rPr>
        <w:t xml:space="preserve">: </w:t>
      </w:r>
      <w:hyperlink r:id="rId4"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8765CE" w:rsidRPr="008765CE">
        <w:rPr>
          <w:bCs w:val="0"/>
          <w:i w:val="0"/>
          <w:iCs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және уақытша 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00C81D22" w:rsidRPr="00B8434C">
        <w:rPr>
          <w:bCs w:val="0"/>
          <w:i w:val="0"/>
          <w:lang w:val="kk-KZ"/>
        </w:rPr>
        <w:t>бөлімінің бас маманы</w:t>
      </w:r>
      <w:r w:rsidR="009A7977" w:rsidRPr="00B8434C">
        <w:rPr>
          <w:bCs w:val="0"/>
          <w:i w:val="0"/>
          <w:lang w:val="kk-KZ"/>
        </w:rPr>
        <w:t xml:space="preserve"> </w:t>
      </w:r>
      <w:r w:rsidR="004C58AC" w:rsidRPr="00B8434C">
        <w:rPr>
          <w:bCs w:val="0"/>
          <w:i w:val="0"/>
          <w:lang w:val="kk-KZ"/>
        </w:rPr>
        <w:t>С-R-4 санаты</w:t>
      </w:r>
      <w:r w:rsidR="004C58AC">
        <w:rPr>
          <w:i w:val="0"/>
          <w:color w:val="000000"/>
          <w:lang w:val="kk-KZ"/>
        </w:rPr>
        <w:t xml:space="preserve">, </w:t>
      </w:r>
      <w:r w:rsidR="005F5C59">
        <w:rPr>
          <w:i w:val="0"/>
          <w:color w:val="000000"/>
          <w:lang w:val="kk-KZ"/>
        </w:rPr>
        <w:t>1</w:t>
      </w:r>
      <w:r w:rsidR="004C58AC">
        <w:rPr>
          <w:i w:val="0"/>
          <w:color w:val="000000"/>
          <w:lang w:val="kk-KZ"/>
        </w:rPr>
        <w:t xml:space="preserve"> бірлік, </w:t>
      </w:r>
      <w:r w:rsidRPr="008765CE">
        <w:rPr>
          <w:bCs w:val="0"/>
          <w:u w:val="single"/>
          <w:lang w:val="kk-KZ"/>
        </w:rPr>
        <w:t xml:space="preserve">(негізгі қызметкердің бала күтіміне арналған демалысы уақытына </w:t>
      </w:r>
      <w:r w:rsidR="007B1678">
        <w:rPr>
          <w:bCs w:val="0"/>
          <w:u w:val="single"/>
          <w:lang w:val="kk-KZ"/>
        </w:rPr>
        <w:t>04.03.2024</w:t>
      </w:r>
      <w:r w:rsidRPr="008765CE">
        <w:rPr>
          <w:bCs w:val="0"/>
          <w:u w:val="single"/>
          <w:lang w:val="kk-KZ"/>
        </w:rPr>
        <w:t xml:space="preserve"> жылға дейін)</w:t>
      </w:r>
      <w:r w:rsidR="00CA6821">
        <w:rPr>
          <w:bCs w:val="0"/>
          <w:i w:val="0"/>
          <w:lang w:val="kk-KZ"/>
        </w:rPr>
        <w:t>.</w:t>
      </w:r>
      <w:r w:rsidR="00C81D22" w:rsidRPr="00B8434C">
        <w:rPr>
          <w:bCs w:val="0"/>
          <w:i w:val="0"/>
          <w:lang w:val="kk-KZ"/>
        </w:rPr>
        <w:t xml:space="preserve"> </w:t>
      </w:r>
    </w:p>
    <w:p w:rsidR="008765CE" w:rsidRPr="00470D15" w:rsidRDefault="00A87C8E" w:rsidP="00EF526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8765CE" w:rsidRPr="008765CE">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4D0B" w:rsidRPr="00A24D0B" w:rsidRDefault="007B1678" w:rsidP="00A24D0B">
      <w:pPr>
        <w:shd w:val="clear" w:color="auto" w:fill="FFFFFF" w:themeFill="background1"/>
        <w:ind w:firstLine="708"/>
        <w:jc w:val="both"/>
        <w:rPr>
          <w:i w:val="0"/>
          <w:color w:val="000000"/>
          <w:lang w:val="kk-KZ"/>
        </w:rPr>
      </w:pPr>
      <w:r>
        <w:rPr>
          <w:i w:val="0"/>
          <w:lang w:val="kk-KZ"/>
        </w:rPr>
        <w:t>2</w:t>
      </w:r>
      <w:r w:rsidR="00A24D0B" w:rsidRPr="00B8434C">
        <w:rPr>
          <w:i w:val="0"/>
          <w:lang w:val="kk-KZ"/>
        </w:rPr>
        <w:t>.</w:t>
      </w:r>
      <w:r w:rsidR="00A24D0B" w:rsidRPr="00B8434C">
        <w:rPr>
          <w:bCs w:val="0"/>
          <w:i w:val="0"/>
          <w:lang w:val="kk-KZ"/>
        </w:rPr>
        <w:t xml:space="preserve"> </w:t>
      </w:r>
      <w:r w:rsidR="005F5C59" w:rsidRPr="005F5C59">
        <w:rPr>
          <w:bCs w:val="0"/>
          <w:i w:val="0"/>
          <w:lang w:val="kk-KZ"/>
        </w:rPr>
        <w:t xml:space="preserve">Заңды тұлғаларды  әкімшілендіру </w:t>
      </w:r>
      <w:r w:rsidR="00A24D0B" w:rsidRPr="00B8434C">
        <w:rPr>
          <w:bCs w:val="0"/>
          <w:i w:val="0"/>
          <w:lang w:val="kk-KZ"/>
        </w:rPr>
        <w:t>бөлімінің бас маманы С-R-4 санаты</w:t>
      </w:r>
      <w:r w:rsidR="00A24D0B">
        <w:rPr>
          <w:i w:val="0"/>
          <w:color w:val="000000"/>
          <w:lang w:val="kk-KZ"/>
        </w:rPr>
        <w:t>, 1</w:t>
      </w:r>
      <w:r w:rsidR="00A24D0B" w:rsidRPr="00B8434C">
        <w:rPr>
          <w:i w:val="0"/>
          <w:color w:val="000000"/>
          <w:lang w:val="kk-KZ"/>
        </w:rPr>
        <w:t xml:space="preserve"> бірлік</w:t>
      </w:r>
      <w:r w:rsidR="00A24D0B">
        <w:rPr>
          <w:i w:val="0"/>
          <w:color w:val="000000"/>
          <w:lang w:val="kk-KZ"/>
        </w:rPr>
        <w:t>.</w:t>
      </w:r>
    </w:p>
    <w:p w:rsidR="005F6F6B" w:rsidRDefault="00A24D0B" w:rsidP="00A741F0">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5F6F6B" w:rsidRPr="005F6F6B">
        <w:rPr>
          <w:b w:val="0"/>
          <w:i w:val="0"/>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A741F0" w:rsidRPr="00884755" w:rsidRDefault="00A741F0" w:rsidP="00A741F0">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 xml:space="preserve">Әлеуметтік </w:t>
      </w:r>
      <w:r w:rsidRPr="00E27CCE">
        <w:rPr>
          <w:b w:val="0"/>
          <w:i w:val="0"/>
          <w:lang w:val="kk-KZ"/>
        </w:rPr>
        <w:lastRenderedPageBreak/>
        <w:t>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B11" w:rsidRPr="00071B11" w:rsidRDefault="007B1678" w:rsidP="00071B11">
      <w:pPr>
        <w:shd w:val="clear" w:color="auto" w:fill="FFFFFF" w:themeFill="background1"/>
        <w:ind w:firstLine="708"/>
        <w:jc w:val="both"/>
        <w:rPr>
          <w:i w:val="0"/>
          <w:lang w:val="kk-KZ"/>
        </w:rPr>
      </w:pPr>
      <w:r>
        <w:rPr>
          <w:i w:val="0"/>
          <w:lang w:val="kk-KZ"/>
        </w:rPr>
        <w:t>3</w:t>
      </w:r>
      <w:r w:rsidR="00A24D0B" w:rsidRPr="00B8434C">
        <w:rPr>
          <w:i w:val="0"/>
          <w:lang w:val="kk-KZ"/>
        </w:rPr>
        <w:t>.</w:t>
      </w:r>
      <w:r w:rsidR="00A24D0B" w:rsidRPr="00B8434C">
        <w:rPr>
          <w:bCs w:val="0"/>
          <w:i w:val="0"/>
          <w:lang w:val="kk-KZ"/>
        </w:rPr>
        <w:t xml:space="preserve"> </w:t>
      </w:r>
      <w:r w:rsidR="00071B11">
        <w:rPr>
          <w:bCs w:val="0"/>
          <w:i w:val="0"/>
          <w:lang w:val="kk-KZ"/>
        </w:rPr>
        <w:t>Мәжбүрлеп өндіріп алу</w:t>
      </w:r>
      <w:r w:rsidR="00071B11" w:rsidRPr="00071B11">
        <w:rPr>
          <w:bCs w:val="0"/>
          <w:i w:val="0"/>
          <w:lang w:val="kk-KZ"/>
        </w:rPr>
        <w:t xml:space="preserve"> бөлімінің бас маманы С-R-4 санаты</w:t>
      </w:r>
      <w:r w:rsidR="00071B11" w:rsidRPr="00071B11">
        <w:rPr>
          <w:i w:val="0"/>
          <w:lang w:val="kk-KZ"/>
        </w:rPr>
        <w:t xml:space="preserve">, 1 бірлік, </w:t>
      </w:r>
      <w:r w:rsidR="00071B11" w:rsidRPr="00071B11">
        <w:rPr>
          <w:bCs w:val="0"/>
          <w:u w:val="single"/>
          <w:lang w:val="kk-KZ"/>
        </w:rPr>
        <w:t>(негізгі қызметкердің бала күтіміне арналған демалысы уақытына 04.0</w:t>
      </w:r>
      <w:r w:rsidR="00071B11">
        <w:rPr>
          <w:bCs w:val="0"/>
          <w:u w:val="single"/>
          <w:lang w:val="kk-KZ"/>
        </w:rPr>
        <w:t>2</w:t>
      </w:r>
      <w:r w:rsidR="00071B11" w:rsidRPr="00071B11">
        <w:rPr>
          <w:bCs w:val="0"/>
          <w:u w:val="single"/>
          <w:lang w:val="kk-KZ"/>
        </w:rPr>
        <w:t>.202</w:t>
      </w:r>
      <w:r w:rsidR="00071B11">
        <w:rPr>
          <w:bCs w:val="0"/>
          <w:u w:val="single"/>
          <w:lang w:val="kk-KZ"/>
        </w:rPr>
        <w:t>2</w:t>
      </w:r>
      <w:r w:rsidR="00071B11" w:rsidRPr="00071B11">
        <w:rPr>
          <w:bCs w:val="0"/>
          <w:u w:val="single"/>
          <w:lang w:val="kk-KZ"/>
        </w:rPr>
        <w:t xml:space="preserve"> жылға дейін)</w:t>
      </w:r>
      <w:r w:rsidR="00071B11" w:rsidRPr="00071B11">
        <w:rPr>
          <w:bCs w:val="0"/>
          <w:i w:val="0"/>
          <w:lang w:val="kk-KZ"/>
        </w:rPr>
        <w:t xml:space="preserve">. </w:t>
      </w:r>
    </w:p>
    <w:p w:rsidR="002C6509" w:rsidRDefault="00A24D0B" w:rsidP="002C6509">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2C6509" w:rsidRPr="002C6509">
        <w:rPr>
          <w:b w:val="0"/>
          <w:i w:val="0"/>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A741F0" w:rsidRPr="00884755" w:rsidRDefault="00A741F0" w:rsidP="002C6509">
      <w:pPr>
        <w:shd w:val="clear" w:color="auto" w:fill="FFFFFF" w:themeFill="background1"/>
        <w:ind w:firstLine="708"/>
        <w:jc w:val="both"/>
        <w:rPr>
          <w:b w:val="0"/>
          <w:i w:val="0"/>
          <w:lang w:val="kk-KZ"/>
        </w:rPr>
      </w:pPr>
      <w:bookmarkStart w:id="0" w:name="_GoBack"/>
      <w:bookmarkEnd w:id="0"/>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267C6F" w:rsidP="00B433AD">
      <w:pPr>
        <w:shd w:val="clear" w:color="auto" w:fill="FFFFFF" w:themeFill="background1"/>
        <w:ind w:firstLine="708"/>
        <w:jc w:val="both"/>
        <w:rPr>
          <w:i w:val="0"/>
          <w:lang w:val="kk-KZ"/>
        </w:rPr>
      </w:pPr>
      <w:r>
        <w:rPr>
          <w:i w:val="0"/>
          <w:highlight w:val="yellow"/>
          <w:lang w:val="kk-KZ"/>
        </w:rPr>
        <w:t>Құжаттар қабылдау уақыты: 07</w:t>
      </w:r>
      <w:r w:rsidR="00E27CCE">
        <w:rPr>
          <w:i w:val="0"/>
          <w:highlight w:val="yellow"/>
          <w:lang w:val="kk-KZ"/>
        </w:rPr>
        <w:t>.0</w:t>
      </w:r>
      <w:r>
        <w:rPr>
          <w:i w:val="0"/>
          <w:highlight w:val="yellow"/>
          <w:lang w:val="kk-KZ"/>
        </w:rPr>
        <w:t>9</w:t>
      </w:r>
      <w:r w:rsidR="00E27CCE">
        <w:rPr>
          <w:i w:val="0"/>
          <w:highlight w:val="yellow"/>
          <w:lang w:val="kk-KZ"/>
        </w:rPr>
        <w:t>.2021-</w:t>
      </w:r>
      <w:r>
        <w:rPr>
          <w:i w:val="0"/>
          <w:highlight w:val="yellow"/>
          <w:lang w:val="kk-KZ"/>
        </w:rPr>
        <w:t>09</w:t>
      </w:r>
      <w:r w:rsidR="00E27CCE">
        <w:rPr>
          <w:i w:val="0"/>
          <w:highlight w:val="yellow"/>
          <w:lang w:val="kk-KZ"/>
        </w:rPr>
        <w:t>.0</w:t>
      </w:r>
      <w:r>
        <w:rPr>
          <w:i w:val="0"/>
          <w:highlight w:val="yellow"/>
          <w:lang w:val="kk-KZ"/>
        </w:rPr>
        <w:t>9</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lastRenderedPageBreak/>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Pr="002A04F9" w:rsidRDefault="00267C6F"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 xml:space="preserve">Дипломатический ранг, воинское, специальное звание, </w:t>
            </w:r>
            <w:r w:rsidRPr="00C167C6">
              <w:rPr>
                <w:b w:val="0"/>
                <w:color w:val="000000"/>
                <w:sz w:val="24"/>
                <w:szCs w:val="24"/>
                <w:lang w:val="kk-KZ"/>
              </w:rPr>
              <w:lastRenderedPageBreak/>
              <w:t>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71B11"/>
    <w:rsid w:val="00153400"/>
    <w:rsid w:val="00193F9F"/>
    <w:rsid w:val="001E613A"/>
    <w:rsid w:val="002040D1"/>
    <w:rsid w:val="00262650"/>
    <w:rsid w:val="00267C6F"/>
    <w:rsid w:val="002A04F9"/>
    <w:rsid w:val="002C053E"/>
    <w:rsid w:val="002C6509"/>
    <w:rsid w:val="002D0311"/>
    <w:rsid w:val="002E44BB"/>
    <w:rsid w:val="002F55F3"/>
    <w:rsid w:val="0038004F"/>
    <w:rsid w:val="00470D15"/>
    <w:rsid w:val="004912EA"/>
    <w:rsid w:val="004C58AC"/>
    <w:rsid w:val="004F191B"/>
    <w:rsid w:val="00507BB5"/>
    <w:rsid w:val="00552E20"/>
    <w:rsid w:val="005D7E6C"/>
    <w:rsid w:val="005F5C59"/>
    <w:rsid w:val="005F6F6B"/>
    <w:rsid w:val="006A6155"/>
    <w:rsid w:val="00741EBF"/>
    <w:rsid w:val="00754E80"/>
    <w:rsid w:val="007813C4"/>
    <w:rsid w:val="007A1D64"/>
    <w:rsid w:val="007B1678"/>
    <w:rsid w:val="007B338C"/>
    <w:rsid w:val="007B5DB1"/>
    <w:rsid w:val="00806CE3"/>
    <w:rsid w:val="00833BC1"/>
    <w:rsid w:val="0085349E"/>
    <w:rsid w:val="00861D33"/>
    <w:rsid w:val="008765CE"/>
    <w:rsid w:val="00880DE1"/>
    <w:rsid w:val="00884755"/>
    <w:rsid w:val="008E6984"/>
    <w:rsid w:val="008E770B"/>
    <w:rsid w:val="00915916"/>
    <w:rsid w:val="0091664F"/>
    <w:rsid w:val="009A7977"/>
    <w:rsid w:val="00A01F96"/>
    <w:rsid w:val="00A24D0B"/>
    <w:rsid w:val="00A56932"/>
    <w:rsid w:val="00A741F0"/>
    <w:rsid w:val="00A87C8E"/>
    <w:rsid w:val="00B433AD"/>
    <w:rsid w:val="00B51623"/>
    <w:rsid w:val="00B64453"/>
    <w:rsid w:val="00B8434C"/>
    <w:rsid w:val="00BC1A84"/>
    <w:rsid w:val="00C05A2F"/>
    <w:rsid w:val="00C12D34"/>
    <w:rsid w:val="00C167C6"/>
    <w:rsid w:val="00C524F9"/>
    <w:rsid w:val="00C81D22"/>
    <w:rsid w:val="00C94838"/>
    <w:rsid w:val="00CA6821"/>
    <w:rsid w:val="00CC15E9"/>
    <w:rsid w:val="00CE0507"/>
    <w:rsid w:val="00D3381B"/>
    <w:rsid w:val="00D73FB3"/>
    <w:rsid w:val="00D74B7A"/>
    <w:rsid w:val="00E163BE"/>
    <w:rsid w:val="00E27CCE"/>
    <w:rsid w:val="00EC27A3"/>
    <w:rsid w:val="00EE58A2"/>
    <w:rsid w:val="00EF5261"/>
    <w:rsid w:val="00EF6D78"/>
    <w:rsid w:val="00F832F9"/>
    <w:rsid w:val="00F975A1"/>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962C"/>
  <w15:docId w15:val="{90FCCEBA-DC25-4FF6-9B64-BB5F499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59</cp:revision>
  <dcterms:created xsi:type="dcterms:W3CDTF">2020-10-13T09:52:00Z</dcterms:created>
  <dcterms:modified xsi:type="dcterms:W3CDTF">2021-09-06T06:17:00Z</dcterms:modified>
</cp:coreProperties>
</file>