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bookmarkStart w:id="0" w:name="_GoBack"/>
      <w:bookmarkEnd w:id="0"/>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A87C8E" w:rsidRPr="00B8434C" w:rsidRDefault="008765CE" w:rsidP="00A87C8E">
      <w:pPr>
        <w:ind w:firstLine="708"/>
        <w:jc w:val="both"/>
        <w:rPr>
          <w:rFonts w:eastAsia="MS Mincho"/>
          <w:i w:val="0"/>
          <w:lang w:val="kk-KZ" w:eastAsia="ko-KR"/>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8248AE" w:rsidRPr="008248AE">
        <w:rPr>
          <w:bCs w:val="0"/>
          <w:i w:val="0"/>
          <w:lang w:val="kk-KZ"/>
        </w:rPr>
        <w:t>Экспорттық бақылау</w:t>
      </w:r>
      <w:r w:rsidRPr="008248AE">
        <w:rPr>
          <w:bCs w:val="0"/>
          <w:i w:val="0"/>
          <w:lang w:val="kk-KZ"/>
        </w:rPr>
        <w:t xml:space="preserve"> </w:t>
      </w:r>
      <w:r w:rsidR="00C81D22" w:rsidRPr="00B8434C">
        <w:rPr>
          <w:bCs w:val="0"/>
          <w:i w:val="0"/>
          <w:lang w:val="kk-KZ"/>
        </w:rPr>
        <w:t>бөлімінің бас маманы, С-R-4 санаты</w:t>
      </w:r>
      <w:r w:rsidR="00A87C8E" w:rsidRPr="00B8434C">
        <w:rPr>
          <w:i w:val="0"/>
          <w:color w:val="000000"/>
          <w:lang w:val="kk-KZ"/>
        </w:rPr>
        <w:t>, (</w:t>
      </w:r>
      <w:r w:rsidR="00E50778">
        <w:rPr>
          <w:i w:val="0"/>
          <w:color w:val="000000"/>
          <w:lang w:val="kk-KZ"/>
        </w:rPr>
        <w:t>1</w:t>
      </w:r>
      <w:r w:rsidR="00A87C8E" w:rsidRPr="00B8434C">
        <w:rPr>
          <w:i w:val="0"/>
          <w:color w:val="000000"/>
          <w:lang w:val="kk-KZ"/>
        </w:rPr>
        <w:t xml:space="preserve"> бірлік) </w:t>
      </w:r>
    </w:p>
    <w:p w:rsidR="00D658C8" w:rsidRPr="00D658C8" w:rsidRDefault="00A87C8E" w:rsidP="00D658C8">
      <w:pPr>
        <w:jc w:val="both"/>
        <w:rPr>
          <w:b w:val="0"/>
          <w:bCs w:val="0"/>
          <w:i w:val="0"/>
          <w:iCs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00D658C8" w:rsidRPr="00D658C8">
        <w:rPr>
          <w:b w:val="0"/>
          <w:bCs w:val="0"/>
          <w:i w:val="0"/>
          <w:iCs w:val="0"/>
          <w:sz w:val="20"/>
          <w:szCs w:val="20"/>
          <w:lang w:val="kk-KZ"/>
        </w:rPr>
        <w:t xml:space="preserve"> </w:t>
      </w:r>
      <w:r w:rsidR="00D658C8" w:rsidRPr="00D658C8">
        <w:rPr>
          <w:b w:val="0"/>
          <w:bCs w:val="0"/>
          <w:i w:val="0"/>
          <w:iCs w:val="0"/>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 карточкаларын, қызметтік нұсқаулықтардың жүргізілуін бақылау. Кадр жұмысына, кәсіби деңгейін арттыру, қайта даярлауды ұйымдастыруға қатысты есеп жүргізілуін бақылау. Тәртіптік жазаны тағайындауға қатысты құжаттарды рәсімдеудің жүргізілуін бақылау.</w:t>
      </w:r>
    </w:p>
    <w:p w:rsidR="00D658C8" w:rsidRPr="00D658C8" w:rsidRDefault="00D658C8" w:rsidP="00D658C8">
      <w:pPr>
        <w:shd w:val="clear" w:color="auto" w:fill="FFFFFF" w:themeFill="background1"/>
        <w:ind w:firstLine="708"/>
        <w:jc w:val="both"/>
        <w:rPr>
          <w:b w:val="0"/>
          <w:bCs w:val="0"/>
          <w:i w:val="0"/>
          <w:iCs w:val="0"/>
          <w:lang w:val="kk-KZ"/>
        </w:rPr>
      </w:pPr>
      <w:r w:rsidRPr="00D658C8">
        <w:rPr>
          <w:b w:val="0"/>
          <w:bCs w:val="0"/>
          <w:i w:val="0"/>
          <w:iCs w:val="0"/>
          <w:lang w:val="kk-KZ"/>
        </w:rPr>
        <w:t>Әкімшілік мемлекеттік қызметкерлердің бос лауазымдарына орналасуға конкурстар жүргізу. Еңбек шарттарды жасасу. «Б» корпусының әкімшілік мемлекеттік қызметкерлердің қызметтерін бағалау, қызметтік саты бойынша жылжыту және конкурстық іріктеу мен аттестация өткізу. Жеке және заңды тұлғалардың өтініші бойынша қызметтік тергеуді жүргізу. Сенім телефоны арқылы келіп түскен хабарламаларды, ұсыныстарды және шағымдарды есепке алу.</w:t>
      </w:r>
    </w:p>
    <w:p w:rsidR="00EF5261" w:rsidRPr="00B8434C" w:rsidRDefault="00A87C8E" w:rsidP="00D658C8">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гуманитарлық ғылымдар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8248AE" w:rsidP="00B433AD">
      <w:pPr>
        <w:shd w:val="clear" w:color="auto" w:fill="FFFFFF" w:themeFill="background1"/>
        <w:ind w:firstLine="708"/>
        <w:jc w:val="both"/>
        <w:rPr>
          <w:i w:val="0"/>
          <w:lang w:val="kk-KZ"/>
        </w:rPr>
      </w:pPr>
      <w:r>
        <w:rPr>
          <w:i w:val="0"/>
          <w:highlight w:val="yellow"/>
          <w:lang w:val="kk-KZ"/>
        </w:rPr>
        <w:t>Құжаттар қабылдау уақыты: 06</w:t>
      </w:r>
      <w:r w:rsidR="00E27CCE">
        <w:rPr>
          <w:i w:val="0"/>
          <w:highlight w:val="yellow"/>
          <w:lang w:val="kk-KZ"/>
        </w:rPr>
        <w:t>.0</w:t>
      </w:r>
      <w:r>
        <w:rPr>
          <w:i w:val="0"/>
          <w:highlight w:val="yellow"/>
          <w:lang w:val="kk-KZ"/>
        </w:rPr>
        <w:t>4</w:t>
      </w:r>
      <w:r w:rsidR="00E27CCE">
        <w:rPr>
          <w:i w:val="0"/>
          <w:highlight w:val="yellow"/>
          <w:lang w:val="kk-KZ"/>
        </w:rPr>
        <w:t>.2021-</w:t>
      </w:r>
      <w:r>
        <w:rPr>
          <w:i w:val="0"/>
          <w:highlight w:val="yellow"/>
          <w:lang w:val="kk-KZ"/>
        </w:rPr>
        <w:t>08</w:t>
      </w:r>
      <w:r w:rsidR="00E27CCE">
        <w:rPr>
          <w:i w:val="0"/>
          <w:highlight w:val="yellow"/>
          <w:lang w:val="kk-KZ"/>
        </w:rPr>
        <w:t>.0</w:t>
      </w:r>
      <w:r>
        <w:rPr>
          <w:i w:val="0"/>
          <w:highlight w:val="yellow"/>
          <w:lang w:val="kk-KZ"/>
        </w:rPr>
        <w:t>4</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lastRenderedPageBreak/>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 xml:space="preserve">Байқаушы ретінде конкурс комиссиясының отырысына қатысу үшін адам </w:t>
      </w:r>
      <w:r w:rsidRPr="00B8434C">
        <w:rPr>
          <w:b w:val="0"/>
          <w:i w:val="0"/>
          <w:lang w:val="kk-KZ"/>
        </w:rPr>
        <w:lastRenderedPageBreak/>
        <w:t>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Pr="002A04F9" w:rsidRDefault="00E27CCE"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Default="002A04F9" w:rsidP="00C167C6">
      <w:pPr>
        <w:tabs>
          <w:tab w:val="left" w:pos="578"/>
        </w:tabs>
        <w:ind w:left="6237"/>
        <w:contextualSpacing/>
        <w:rPr>
          <w:color w:val="000000"/>
          <w:sz w:val="24"/>
          <w:szCs w:val="24"/>
          <w:lang w:val="kk-KZ"/>
        </w:rPr>
      </w:pPr>
    </w:p>
    <w:p w:rsidR="002A04F9" w:rsidRPr="002A04F9" w:rsidRDefault="002A04F9"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93F9F"/>
    <w:rsid w:val="001E613A"/>
    <w:rsid w:val="002040D1"/>
    <w:rsid w:val="00262650"/>
    <w:rsid w:val="002A04F9"/>
    <w:rsid w:val="002C053E"/>
    <w:rsid w:val="002D0311"/>
    <w:rsid w:val="002E44BB"/>
    <w:rsid w:val="002F55F3"/>
    <w:rsid w:val="0038004F"/>
    <w:rsid w:val="00470D15"/>
    <w:rsid w:val="004912EA"/>
    <w:rsid w:val="004F191B"/>
    <w:rsid w:val="00507BB5"/>
    <w:rsid w:val="00552E20"/>
    <w:rsid w:val="005D7E6C"/>
    <w:rsid w:val="006A6155"/>
    <w:rsid w:val="00741EBF"/>
    <w:rsid w:val="00754E80"/>
    <w:rsid w:val="007813C4"/>
    <w:rsid w:val="007A1D64"/>
    <w:rsid w:val="007B338C"/>
    <w:rsid w:val="007B5DB1"/>
    <w:rsid w:val="007E6A86"/>
    <w:rsid w:val="00806CE3"/>
    <w:rsid w:val="008248AE"/>
    <w:rsid w:val="00833BC1"/>
    <w:rsid w:val="0085349E"/>
    <w:rsid w:val="00861D33"/>
    <w:rsid w:val="008765CE"/>
    <w:rsid w:val="00880DE1"/>
    <w:rsid w:val="00884755"/>
    <w:rsid w:val="008E6984"/>
    <w:rsid w:val="008E770B"/>
    <w:rsid w:val="00915916"/>
    <w:rsid w:val="0091664F"/>
    <w:rsid w:val="009A7977"/>
    <w:rsid w:val="00A01F96"/>
    <w:rsid w:val="00A56932"/>
    <w:rsid w:val="00A87C8E"/>
    <w:rsid w:val="00B41E69"/>
    <w:rsid w:val="00B433AD"/>
    <w:rsid w:val="00B51623"/>
    <w:rsid w:val="00B64453"/>
    <w:rsid w:val="00B8434C"/>
    <w:rsid w:val="00BC1A84"/>
    <w:rsid w:val="00C05A2F"/>
    <w:rsid w:val="00C12D34"/>
    <w:rsid w:val="00C167C6"/>
    <w:rsid w:val="00C524F9"/>
    <w:rsid w:val="00C81D22"/>
    <w:rsid w:val="00C94838"/>
    <w:rsid w:val="00CC15E9"/>
    <w:rsid w:val="00CE0507"/>
    <w:rsid w:val="00D3381B"/>
    <w:rsid w:val="00D658C8"/>
    <w:rsid w:val="00D73FB3"/>
    <w:rsid w:val="00D74B7A"/>
    <w:rsid w:val="00E163BE"/>
    <w:rsid w:val="00E27CCE"/>
    <w:rsid w:val="00E50778"/>
    <w:rsid w:val="00EC27A3"/>
    <w:rsid w:val="00EE58A2"/>
    <w:rsid w:val="00EF5261"/>
    <w:rsid w:val="00EF6D78"/>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9086"/>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60</cp:revision>
  <dcterms:created xsi:type="dcterms:W3CDTF">2020-10-13T09:52:00Z</dcterms:created>
  <dcterms:modified xsi:type="dcterms:W3CDTF">2021-04-05T02:52:00Z</dcterms:modified>
</cp:coreProperties>
</file>